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0B483">
      <w:pPr>
        <w:widowControl/>
        <w:jc w:val="center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采  购  需  求（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货物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）</w:t>
      </w:r>
    </w:p>
    <w:p w14:paraId="12800A6A">
      <w:pPr>
        <w:widowControl/>
        <w:rPr>
          <w:rFonts w:cs="宋体"/>
          <w:b/>
          <w:color w:val="000000"/>
          <w:kern w:val="0"/>
          <w:szCs w:val="21"/>
        </w:rPr>
      </w:pPr>
    </w:p>
    <w:p w14:paraId="416DFA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textAlignment w:val="auto"/>
        <w:rPr>
          <w:rFonts w:cs="宋体"/>
          <w:b/>
          <w:color w:val="000000"/>
          <w:kern w:val="0"/>
          <w:sz w:val="24"/>
        </w:rPr>
      </w:pPr>
      <w:r>
        <w:rPr>
          <w:rFonts w:hint="eastAsia" w:cs="宋体"/>
          <w:b/>
          <w:color w:val="000000"/>
          <w:kern w:val="0"/>
          <w:sz w:val="24"/>
        </w:rPr>
        <w:t>一、采购项目概况</w:t>
      </w:r>
    </w:p>
    <w:p w14:paraId="489F6C8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default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1.项目名称：专业建设智能监测分析平台</w:t>
      </w:r>
      <w:bookmarkStart w:id="0" w:name="_GoBack"/>
      <w:bookmarkEnd w:id="0"/>
    </w:p>
    <w:p w14:paraId="1AB213C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2.项目内容：本项目旨在构建一套多维动态专业建设数字化体系。通过集成校内教学数据，依托元数据驱动的评价模型与全链路自动化渲染引擎，实现对教学过程数据的精准量化分析。系统将通过递归分析架构自动生成校级战略视图与专业级诊断画像，驱动学校实现从“经验管理”向“数据治理”的模式转型。</w:t>
      </w:r>
    </w:p>
    <w:p w14:paraId="6A9290AE">
      <w:pPr>
        <w:pStyle w:val="6"/>
        <w:widowControl/>
        <w:numPr>
          <w:ilvl w:val="0"/>
          <w:numId w:val="0"/>
        </w:numPr>
        <w:spacing w:line="276" w:lineRule="auto"/>
        <w:ind w:leftChars="0" w:firstLine="420"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3.安装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地点：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实训楼214室</w:t>
      </w:r>
    </w:p>
    <w:p w14:paraId="245A4C5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4.预算金额及最高限价：8.9万元</w:t>
      </w:r>
    </w:p>
    <w:p w14:paraId="54F2C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textAlignment w:val="auto"/>
        <w:rPr>
          <w:rFonts w:hint="eastAsia" w:cs="宋体"/>
          <w:b/>
          <w:color w:val="000000"/>
          <w:kern w:val="0"/>
          <w:sz w:val="24"/>
          <w:lang w:val="en-US" w:eastAsia="zh-CN"/>
        </w:rPr>
      </w:pPr>
      <w:r>
        <w:rPr>
          <w:rFonts w:hint="eastAsia" w:cs="宋体"/>
          <w:b/>
          <w:color w:val="000000"/>
          <w:kern w:val="0"/>
          <w:sz w:val="24"/>
          <w:lang w:val="en-US" w:eastAsia="zh-CN"/>
        </w:rPr>
        <w:t>二、采购项目要求</w:t>
      </w:r>
    </w:p>
    <w:p w14:paraId="0395E52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供应商参加采购活动应当具备下列条件：</w:t>
      </w:r>
    </w:p>
    <w:p w14:paraId="580545D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（1）满足《中华人民共和国政府采购法》第二十二条规定；</w:t>
      </w:r>
    </w:p>
    <w:p w14:paraId="6740FF6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（2）未被列入“信用中国”网站（www.creditchina.gov.cn）失信被执行人名单、重大税收违法案件当事人名单和中国政府采购网（www.ccgp.gov.cn）政府采购严重违法失信行为记录名单的供应商。</w:t>
      </w:r>
    </w:p>
    <w:p w14:paraId="4DF2422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default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项目内容：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本项目旨在构建一套多维动态专业建设数字化体系。通过集成校内教学数据，依托元数据驱动的评价模型与全链路自动化渲染引擎，实现对教学过程数据的精准量化分析。系统将通过递归分析架构自动生成校级战略视图与专业级诊断画像，驱动学校实现从“经验管理”向“数据治理”的模式转型。详见附件。</w:t>
      </w:r>
    </w:p>
    <w:p w14:paraId="62B0E64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验收要求、付款方式：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验收合格后一次性支付合同金额。</w:t>
      </w:r>
    </w:p>
    <w:p w14:paraId="0A2F9CC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培训等其他相关要求：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提供线上或线下培训，培训次数不少于3次。</w:t>
      </w:r>
    </w:p>
    <w:p w14:paraId="6B7894D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default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售后服务要求</w:t>
      </w:r>
      <w:r>
        <w:rPr>
          <w:rFonts w:hint="eastAsia" w:ascii="Times New Roman" w:hAnsi="Times New Roman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自验收合格之日起提供一年免费质保服务。质保期满后，</w:t>
      </w:r>
      <w:r>
        <w:rPr>
          <w:rFonts w:ascii="宋体" w:hAnsi="宋体" w:eastAsia="宋体" w:cs="宋体"/>
          <w:sz w:val="24"/>
          <w:szCs w:val="24"/>
        </w:rPr>
        <w:t>运维服务费按合同总额 10%/ 年收取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该费用包含系统日常维护、故障排查、技术支持等常规服务，中标人须保证后续服务质量不低于质保期内的服务标准。若实际服务需求发生重大变更，相关费用可由双方另行协商调整。</w:t>
      </w:r>
    </w:p>
    <w:p w14:paraId="5585E17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申购理由：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针对当前专业教学过程数据采集滞后、分析维度单一的痛点，拟引入专业运行量化监测体系。重点通过对培养过程、支持条件等教学运行数据的自动化分析，实时掌握各专业建设动态，实现从“经验驱动”向“数据驱动”的教学管理模式转变，提升教务部门对专业建设的精细化管理水平。</w:t>
      </w:r>
    </w:p>
    <w:p w14:paraId="06CD3CA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61BB7FB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 w:firstLine="420" w:firstLineChars="0"/>
        <w:textAlignment w:val="auto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AA285F">
      <w:pPr>
        <w:widowControl/>
        <w:numPr>
          <w:ilvl w:val="0"/>
          <w:numId w:val="0"/>
        </w:numPr>
        <w:spacing w:line="276" w:lineRule="auto"/>
        <w:ind w:leftChars="0"/>
        <w:rPr>
          <w:rFonts w:hint="default" w:cs="宋体" w:eastAsiaTheme="minorEastAsia"/>
          <w:color w:val="000000"/>
          <w:kern w:val="0"/>
          <w:sz w:val="24"/>
          <w:lang w:val="en-US" w:eastAsia="zh-CN"/>
        </w:rPr>
      </w:pPr>
    </w:p>
    <w:p w14:paraId="7E91B68A">
      <w:pPr>
        <w:widowControl/>
        <w:jc w:val="center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  <w:lang w:val="en-US" w:eastAsia="zh-CN"/>
        </w:rPr>
        <w:t>专业建设智能监测分析平台</w:t>
      </w:r>
    </w:p>
    <w:p w14:paraId="51585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 总体目标</w:t>
      </w:r>
    </w:p>
    <w:p w14:paraId="62905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本项目旨在通过引入专业的数据分析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平台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，构建一套面向专业建设的量化监测与运行分析机制。通过对生源、培养过程、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资源等多维异构数据的深度挖掘与关联分析，实现对各专业建设状态的精准画像与动态追踪。目标不仅在于产出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多维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运行分析报告，更在于通过量化指标的分析，识别专业建设中的资源缺口与运行瓶颈，为教务部门优化教学资源配置、驱动专业内涵建设提供科学的量化依据与决策支撑。</w:t>
      </w:r>
    </w:p>
    <w:p w14:paraId="45CDC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 详细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技术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要求</w:t>
      </w:r>
    </w:p>
    <w:p w14:paraId="637A7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构建多维动态评价模型与量化分析机制</w:t>
      </w:r>
    </w:p>
    <w:p w14:paraId="028B8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需构建一套支持高内聚、低耦合的专业建设评价模型，实现对学科专业运行全过程的量化追踪与分析。</w:t>
      </w:r>
    </w:p>
    <w:p w14:paraId="15CD1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多维指标矩阵解构：构建涵盖培养过程、支持条件、建设成效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教学资源等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核心维度的分析矩阵。要求该机制能够支撑关键要素的深度量化，并建立指标间的权重传递逻辑与依赖关系图谱。</w:t>
      </w:r>
    </w:p>
    <w:p w14:paraId="2B2EB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动态评价算法方案：提供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套可配置的计算逻辑，支持线性加权、非线性修正及对标分析等多种量化算法。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供应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方需支持根据年度建设重点，通过参数化调整动态优化指标权重，实现评价标准的弹性演进。</w:t>
      </w:r>
    </w:p>
    <w:p w14:paraId="7E87C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多级递归分析逻辑：建立“校级→专业级”的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两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级递归分析机制。实现数据在不同层级间的向上聚合与向下钻取，确保分析结论能够从宏观态势无缝切换至微观细节。</w:t>
      </w:r>
    </w:p>
    <w:p w14:paraId="1F886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 多源异构数据治理与集成</w:t>
      </w:r>
    </w:p>
    <w:p w14:paraId="1AE9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针对专业建设数据的碎片化、多源性特点，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供应方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需提供一套完整的数据治理方案：</w:t>
      </w:r>
    </w:p>
    <w:p w14:paraId="3B3CB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异构数据融合服务：实现对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教学运行系统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数据的高效对接与集成。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须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具备专业的ETL处理能力，解决不同数据源之间的口径冲突与格式不一致问题。</w:t>
      </w:r>
    </w:p>
    <w:p w14:paraId="297E8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柔性数据采集机制：提供一套支持动态配置的校内数据采集方案。通过建立复杂业务逻辑的校验规则，确保在数据获取阶段即完成清洗与标准化，消除冗余数据。</w:t>
      </w:r>
    </w:p>
    <w:p w14:paraId="0996A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数据血缘追踪与审计：建立完整的数据血缘分析机制，确保每一项量化指标的计算路径可追溯、结果可审计，满足教务管理严谨性的要求。</w:t>
      </w:r>
    </w:p>
    <w:p w14:paraId="74B4E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 基于智能渲染的自动化分析报告交付</w:t>
      </w:r>
    </w:p>
    <w:p w14:paraId="57765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需采用元数据驱动与模板化渲染技术，实现从原始数据到决策建议的自动化转化并交付：</w:t>
      </w:r>
    </w:p>
    <w:p w14:paraId="6C977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多模态报告输出矩阵：</w:t>
      </w:r>
    </w:p>
    <w:p w14:paraId="4B73D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【学校篇（战略决策视图）】：利用聚类分析与横向对标算法，交付全校专业建设的分布态势报告。需包含专业竞争力雷达图、资源配置热力图及质量波动趋势分析，为学校学科布局提供战略支撑。</w:t>
      </w:r>
    </w:p>
    <w:p w14:paraId="0C1FB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【专业篇（精准诊断视图）】：为每个专业构建数字化画像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。通过对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一系列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要素的量化分析，自动识别“短板指标”并触发运行预警机制，交付包含现状分析、对标差距深度诊断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的报告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040DA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全链路自动化产出流程：实现“数据采集→指标计算→结论推演→文档渲染”的闭环服务，确保能够一键生成符合专业建设标准的分析报告。</w:t>
      </w:r>
    </w:p>
    <w:p w14:paraId="178C3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技术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前瞻性与决策支持能力</w:t>
      </w:r>
    </w:p>
    <w:p w14:paraId="53DC4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可扩展的分析架构：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供应方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案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须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具备高度的灵活性，确保在未来评估指标增加、评价维度扩展时，能够通过调整配置快速响应，无需重新设计分析逻辑。</w:t>
      </w:r>
    </w:p>
    <w:p w14:paraId="75134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决策支持预警机制：基于历史数据构建基准线，当某项关键运行指标低于阈值时，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供应方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需提供自动预警推送机制，实现从“事后分析”向“事前预警、事中监控”的管理模式转变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3B71A0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项目实施与对接要求</w:t>
      </w:r>
    </w:p>
    <w:p w14:paraId="20CB2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数据对接服务</w:t>
      </w:r>
    </w:p>
    <w:p w14:paraId="6F9E9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中标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供应商负责完成本系统与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教学运行系统的数据对接。</w:t>
      </w:r>
    </w:p>
    <w:p w14:paraId="6B0A08B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交付与验收要求</w:t>
      </w:r>
    </w:p>
    <w:p w14:paraId="1F370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文档交付：提供用户操作手册及基础的接口说明文档。</w:t>
      </w:r>
    </w:p>
    <w:p w14:paraId="29828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验收标准：</w:t>
      </w:r>
      <w:r>
        <w:rPr>
          <w:rFonts w:ascii="宋体" w:hAnsi="宋体" w:eastAsia="宋体" w:cs="宋体"/>
          <w:sz w:val="24"/>
          <w:szCs w:val="24"/>
        </w:rPr>
        <w:t>出具合格分析报告作为验收关键依据；</w:t>
      </w:r>
    </w:p>
    <w:p w14:paraId="60A4A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培训服务：为相关管理人员提供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不少于3次的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系统操作培训。</w:t>
      </w:r>
    </w:p>
    <w:p w14:paraId="035C9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付款方式：验收合格收到发票后30日内一次性支付合同的全部金额。</w:t>
      </w:r>
    </w:p>
    <w:p w14:paraId="6A658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费用说明</w:t>
      </w:r>
    </w:p>
    <w:p w14:paraId="6BAB9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本项目涉及与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教学运行系统数据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同步工作，相关对接费用（含原厂授权费用等）由中标供应商全额承担，采购人不再支付任何额外的对接或授权费用。</w:t>
      </w:r>
    </w:p>
    <w:p w14:paraId="4615F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4.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其他要求</w:t>
      </w:r>
    </w:p>
    <w:p w14:paraId="21C3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学校有权在合同签订前要求中标供应商进行系统部署测试。若供应商未能满足招标文件中明确规定的相关技术要求，其行为将被视为存在虚假应标情形，学校有权依据招标文件约定条款终止合作并追究相应责任。</w:t>
      </w:r>
    </w:p>
    <w:p w14:paraId="5C6AD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421E1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DBCA75"/>
    <w:multiLevelType w:val="singleLevel"/>
    <w:tmpl w:val="57DBCA75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9724778"/>
    <w:multiLevelType w:val="singleLevel"/>
    <w:tmpl w:val="69724778"/>
    <w:lvl w:ilvl="0" w:tentative="0">
      <w:start w:val="3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B3B9"/>
    <w:rsid w:val="005A4F39"/>
    <w:rsid w:val="04185410"/>
    <w:rsid w:val="1D334A6A"/>
    <w:rsid w:val="1DE72A91"/>
    <w:rsid w:val="262B471E"/>
    <w:rsid w:val="2B778E25"/>
    <w:rsid w:val="2E8C4181"/>
    <w:rsid w:val="2F7E018E"/>
    <w:rsid w:val="46637B32"/>
    <w:rsid w:val="51A6667F"/>
    <w:rsid w:val="55286102"/>
    <w:rsid w:val="5AD759B1"/>
    <w:rsid w:val="721E646B"/>
    <w:rsid w:val="73CD50C7"/>
    <w:rsid w:val="7B86311D"/>
    <w:rsid w:val="7F5D1949"/>
    <w:rsid w:val="7FBF7B46"/>
    <w:rsid w:val="7FFFB3B9"/>
    <w:rsid w:val="F9FF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200" w:leftChars="200"/>
    </w:pPr>
  </w:style>
  <w:style w:type="paragraph" w:styleId="3">
    <w:name w:val="Body Text First Indent 2"/>
    <w:basedOn w:val="2"/>
    <w:next w:val="1"/>
    <w:qFormat/>
    <w:uiPriority w:val="0"/>
    <w:pPr>
      <w:tabs>
        <w:tab w:val="left" w:pos="5580"/>
      </w:tabs>
      <w:spacing w:after="120"/>
      <w:ind w:left="420" w:leftChars="200" w:firstLine="200" w:firstLineChars="200"/>
    </w:pPr>
    <w:rPr>
      <w:sz w:val="21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2287</Words>
  <Characters>2342</Characters>
  <Lines>0</Lines>
  <Paragraphs>0</Paragraphs>
  <TotalTime>4</TotalTime>
  <ScaleCrop>false</ScaleCrop>
  <LinksUpToDate>false</LinksUpToDate>
  <CharactersWithSpaces>2359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2026-10-23T12:25:00Z</dcterms:created>
  <dc:creator>微信用户</dc:creator>
  <cp:lastModifiedBy>徐磊</cp:lastModifiedBy>
  <dcterms:modified xsi:type="dcterms:W3CDTF">2026-10-26T01:01:20Z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6255013F71C5478E84E34FC0C2EF709F_13</vt:lpwstr>
  </property>
  <property fmtid="{D5CDD505-2E9C-101B-9397-08002B2CF9AE}" pid="4" name="KSOTemplateDocerSaveRecord">
    <vt:lpwstr>eyJoZGlkIjoiMjE2MmFhZGUzN2ViOWQ1NGM0NjI3NjlmZWVlNTQ2N2QiLCJ1c2VySWQiOiI2MDY5NDY0NTkifQ==</vt:lpwstr>
  </property>
</Properties>
</file>