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1567ED">
      <w:pPr>
        <w:jc w:val="center"/>
        <w:rPr>
          <w:rFonts w:hint="eastAsia" w:ascii="宋体" w:hAnsi="宋体" w:cs="Times New Roman"/>
          <w:b/>
          <w:sz w:val="44"/>
          <w:szCs w:val="44"/>
          <w:lang w:val="en-US" w:eastAsia="zh-CN"/>
        </w:rPr>
      </w:pPr>
    </w:p>
    <w:p w14:paraId="2443BB6F">
      <w:pPr>
        <w:jc w:val="center"/>
        <w:rPr>
          <w:rFonts w:hint="eastAsia" w:ascii="宋体" w:hAnsi="宋体" w:cs="Times New Roman"/>
          <w:b/>
          <w:sz w:val="44"/>
          <w:szCs w:val="44"/>
          <w:lang w:val="en-US" w:eastAsia="zh-CN"/>
        </w:rPr>
      </w:pPr>
    </w:p>
    <w:p w14:paraId="020C5995">
      <w:pPr>
        <w:jc w:val="center"/>
        <w:rPr>
          <w:rFonts w:hint="eastAsia" w:ascii="宋体" w:hAnsi="宋体" w:cs="Times New Roman"/>
          <w:b/>
          <w:sz w:val="44"/>
          <w:szCs w:val="44"/>
          <w:lang w:val="en-US" w:eastAsia="zh-CN"/>
        </w:rPr>
      </w:pPr>
    </w:p>
    <w:p w14:paraId="6068BC2F">
      <w:pPr>
        <w:jc w:val="center"/>
        <w:rPr>
          <w:rFonts w:hint="eastAsia" w:ascii="宋体" w:hAnsi="宋体" w:cs="Times New Roman"/>
          <w:b/>
          <w:sz w:val="44"/>
          <w:szCs w:val="44"/>
          <w:lang w:val="en-US" w:eastAsia="zh-CN"/>
        </w:rPr>
      </w:pPr>
    </w:p>
    <w:p w14:paraId="63C7407D">
      <w:pPr>
        <w:jc w:val="center"/>
        <w:rPr>
          <w:rFonts w:hint="eastAsia" w:ascii="宋体" w:hAnsi="宋体" w:cs="Times New Roman"/>
          <w:b/>
          <w:color w:val="auto"/>
          <w:sz w:val="44"/>
          <w:szCs w:val="44"/>
          <w:lang w:val="en-US" w:eastAsia="zh-CN"/>
        </w:rPr>
      </w:pPr>
    </w:p>
    <w:p w14:paraId="4E08FB9A">
      <w:pPr>
        <w:jc w:val="center"/>
        <w:rPr>
          <w:rFonts w:hint="eastAsia" w:ascii="宋体" w:hAnsi="宋体" w:eastAsia="宋体" w:cs="Times New Roman"/>
          <w:b/>
          <w:color w:val="auto"/>
          <w:sz w:val="44"/>
          <w:szCs w:val="44"/>
          <w:lang w:val="en-US" w:eastAsia="zh-CN"/>
        </w:rPr>
      </w:pPr>
      <w:r>
        <w:rPr>
          <w:rFonts w:hint="eastAsia" w:ascii="宋体" w:hAnsi="宋体" w:cs="Times New Roman"/>
          <w:b/>
          <w:color w:val="auto"/>
          <w:sz w:val="44"/>
          <w:szCs w:val="44"/>
          <w:lang w:val="en-US" w:eastAsia="zh-CN"/>
        </w:rPr>
        <w:t>数智税务实训平台</w:t>
      </w:r>
      <w:r>
        <w:rPr>
          <w:rFonts w:hint="eastAsia" w:ascii="宋体" w:hAnsi="宋体" w:eastAsia="宋体" w:cs="Times New Roman"/>
          <w:b/>
          <w:color w:val="auto"/>
          <w:sz w:val="44"/>
          <w:szCs w:val="44"/>
          <w:lang w:val="en-US" w:eastAsia="zh-CN"/>
        </w:rPr>
        <w:t>项目</w:t>
      </w:r>
    </w:p>
    <w:p w14:paraId="72556580">
      <w:pPr>
        <w:jc w:val="center"/>
        <w:rPr>
          <w:rFonts w:ascii="宋体"/>
          <w:b/>
          <w:color w:val="auto"/>
          <w:sz w:val="44"/>
          <w:szCs w:val="44"/>
        </w:rPr>
      </w:pPr>
      <w:r>
        <w:rPr>
          <w:rFonts w:hint="eastAsia" w:ascii="宋体" w:hAnsi="宋体"/>
          <w:b/>
          <w:color w:val="auto"/>
          <w:sz w:val="44"/>
          <w:szCs w:val="44"/>
        </w:rPr>
        <w:t>需求书</w:t>
      </w:r>
    </w:p>
    <w:p w14:paraId="5943F6F2">
      <w:pPr>
        <w:jc w:val="center"/>
        <w:rPr>
          <w:rFonts w:ascii="宋体"/>
          <w:b/>
          <w:color w:val="auto"/>
          <w:sz w:val="44"/>
          <w:szCs w:val="44"/>
        </w:rPr>
      </w:pPr>
    </w:p>
    <w:p w14:paraId="1823CEFF">
      <w:pPr>
        <w:jc w:val="center"/>
        <w:rPr>
          <w:rFonts w:ascii="宋体"/>
          <w:b/>
          <w:color w:val="auto"/>
          <w:sz w:val="44"/>
          <w:szCs w:val="44"/>
        </w:rPr>
      </w:pPr>
    </w:p>
    <w:p w14:paraId="70B5ADFC">
      <w:pPr>
        <w:jc w:val="center"/>
        <w:rPr>
          <w:rFonts w:ascii="宋体"/>
          <w:b/>
          <w:color w:val="auto"/>
          <w:sz w:val="44"/>
          <w:szCs w:val="44"/>
        </w:rPr>
      </w:pPr>
    </w:p>
    <w:p w14:paraId="4DC5A3D1">
      <w:pPr>
        <w:jc w:val="center"/>
        <w:rPr>
          <w:rFonts w:ascii="宋体"/>
          <w:b/>
          <w:color w:val="auto"/>
          <w:sz w:val="44"/>
          <w:szCs w:val="44"/>
        </w:rPr>
      </w:pPr>
    </w:p>
    <w:p w14:paraId="10678E4B">
      <w:pPr>
        <w:jc w:val="center"/>
        <w:rPr>
          <w:rFonts w:ascii="宋体"/>
          <w:b/>
          <w:color w:val="auto"/>
          <w:sz w:val="44"/>
          <w:szCs w:val="44"/>
        </w:rPr>
      </w:pPr>
    </w:p>
    <w:p w14:paraId="049694B0">
      <w:pPr>
        <w:jc w:val="center"/>
        <w:rPr>
          <w:rFonts w:ascii="宋体"/>
          <w:b/>
          <w:color w:val="auto"/>
          <w:sz w:val="44"/>
          <w:szCs w:val="44"/>
        </w:rPr>
      </w:pPr>
    </w:p>
    <w:p w14:paraId="0E128992">
      <w:pPr>
        <w:jc w:val="center"/>
        <w:rPr>
          <w:rFonts w:ascii="宋体"/>
          <w:b/>
          <w:color w:val="auto"/>
          <w:sz w:val="44"/>
          <w:szCs w:val="44"/>
        </w:rPr>
      </w:pPr>
    </w:p>
    <w:p w14:paraId="036283F9">
      <w:pPr>
        <w:jc w:val="center"/>
        <w:rPr>
          <w:rFonts w:ascii="宋体"/>
          <w:b/>
          <w:color w:val="auto"/>
          <w:sz w:val="44"/>
          <w:szCs w:val="44"/>
        </w:rPr>
      </w:pPr>
    </w:p>
    <w:p w14:paraId="36C9429D">
      <w:pPr>
        <w:jc w:val="center"/>
        <w:rPr>
          <w:rFonts w:ascii="宋体"/>
          <w:b/>
          <w:color w:val="auto"/>
          <w:sz w:val="44"/>
          <w:szCs w:val="44"/>
        </w:rPr>
      </w:pPr>
    </w:p>
    <w:p w14:paraId="754AF2F8">
      <w:pPr>
        <w:jc w:val="center"/>
        <w:rPr>
          <w:rFonts w:ascii="宋体"/>
          <w:b/>
          <w:color w:val="auto"/>
          <w:sz w:val="44"/>
          <w:szCs w:val="44"/>
        </w:rPr>
      </w:pPr>
    </w:p>
    <w:p w14:paraId="1A3BFBA1">
      <w:pPr>
        <w:jc w:val="center"/>
        <w:rPr>
          <w:rFonts w:ascii="宋体"/>
          <w:b/>
          <w:color w:val="auto"/>
          <w:sz w:val="44"/>
          <w:szCs w:val="44"/>
        </w:rPr>
      </w:pPr>
    </w:p>
    <w:p w14:paraId="3588BC0D">
      <w:pPr>
        <w:jc w:val="center"/>
        <w:rPr>
          <w:rFonts w:ascii="宋体"/>
          <w:b/>
          <w:color w:val="auto"/>
          <w:sz w:val="44"/>
          <w:szCs w:val="44"/>
        </w:rPr>
      </w:pPr>
    </w:p>
    <w:p w14:paraId="3B6D2C4C">
      <w:pPr>
        <w:widowControl/>
        <w:jc w:val="left"/>
        <w:rPr>
          <w:color w:val="auto"/>
        </w:rPr>
      </w:pPr>
      <w:r>
        <w:rPr>
          <w:color w:val="auto"/>
        </w:rPr>
        <w:br w:type="page"/>
      </w:r>
    </w:p>
    <w:p w14:paraId="47CCA6A0">
      <w:pPr>
        <w:pStyle w:val="5"/>
        <w:spacing w:before="156" w:beforeLines="50" w:after="156" w:afterLines="50"/>
        <w:rPr>
          <w:rFonts w:ascii="宋体"/>
          <w:color w:val="auto"/>
          <w:lang w:val="zh-TW" w:eastAsia="zh-TW"/>
        </w:rPr>
      </w:pPr>
      <w:bookmarkStart w:id="0" w:name="_Toc"/>
      <w:r>
        <w:rPr>
          <w:rFonts w:hint="eastAsia" w:ascii="宋体"/>
          <w:color w:val="auto"/>
          <w:lang w:val="en-US" w:eastAsia="zh-CN"/>
        </w:rPr>
        <w:t>一</w:t>
      </w:r>
      <w:r>
        <w:rPr>
          <w:rFonts w:ascii="宋体"/>
          <w:color w:val="auto"/>
        </w:rPr>
        <w:t>.</w:t>
      </w:r>
      <w:bookmarkEnd w:id="0"/>
      <w:r>
        <w:rPr>
          <w:rFonts w:hint="eastAsia" w:ascii="宋体" w:eastAsia="Times New Roman"/>
          <w:b/>
          <w:bCs/>
          <w:color w:val="auto"/>
          <w:lang w:val="zh-TW" w:eastAsia="zh-TW"/>
        </w:rPr>
        <w:t>建设目标</w:t>
      </w:r>
    </w:p>
    <w:p w14:paraId="0DC0880C">
      <w:pPr>
        <w:pStyle w:val="6"/>
        <w:spacing w:line="360" w:lineRule="auto"/>
        <w:ind w:firstLine="420" w:firstLineChars="200"/>
        <w:rPr>
          <w:rFonts w:hint="eastAsia" w:ascii="新宋体" w:hAnsi="新宋体" w:eastAsia="新宋体" w:cs="新宋体"/>
          <w:color w:val="auto"/>
          <w:sz w:val="21"/>
          <w:szCs w:val="21"/>
        </w:rPr>
      </w:pPr>
      <w:r>
        <w:rPr>
          <w:rFonts w:hint="eastAsia" w:ascii="新宋体" w:hAnsi="新宋体" w:eastAsia="新宋体" w:cs="新宋体"/>
          <w:color w:val="auto"/>
          <w:sz w:val="21"/>
          <w:szCs w:val="21"/>
        </w:rPr>
        <w:t>当前税收征管已全面进入“以数治税”新阶段，金税四期系统通过大数据、人工智能等技术实现了对企业全链条涉税行为的精准监控，但院校传统教学仍以理论灌输为主，学生缺乏真实场景下的风险识别、评估与应对训练，难以匹配税务机关及企业对实操能力的高要求。</w:t>
      </w:r>
    </w:p>
    <w:p w14:paraId="3A2982DF">
      <w:pPr>
        <w:pStyle w:val="6"/>
        <w:spacing w:line="360" w:lineRule="auto"/>
        <w:ind w:firstLine="420" w:firstLineChars="200"/>
        <w:rPr>
          <w:rFonts w:hint="eastAsia" w:ascii="新宋体" w:hAnsi="新宋体" w:eastAsia="新宋体" w:cs="新宋体"/>
          <w:color w:val="auto"/>
          <w:sz w:val="21"/>
          <w:szCs w:val="21"/>
        </w:rPr>
      </w:pPr>
      <w:r>
        <w:rPr>
          <w:rFonts w:hint="eastAsia" w:ascii="新宋体" w:hAnsi="新宋体" w:eastAsia="新宋体" w:cs="新宋体"/>
          <w:color w:val="auto"/>
          <w:sz w:val="21"/>
          <w:szCs w:val="21"/>
        </w:rPr>
        <w:t>聚焦于课程内容与教学方法的深度优化，以适配税收征管现代化需求。在课程内容层面，推动核心专业课程更新教学要素，将</w:t>
      </w:r>
      <w:r>
        <w:rPr>
          <w:rFonts w:hint="eastAsia" w:ascii="新宋体" w:hAnsi="新宋体" w:eastAsia="新宋体" w:cs="新宋体"/>
          <w:color w:val="auto"/>
          <w:sz w:val="21"/>
          <w:szCs w:val="21"/>
          <w:lang w:val="en-US" w:eastAsia="zh-CN"/>
        </w:rPr>
        <w:t>税务申报、</w:t>
      </w:r>
      <w:r>
        <w:rPr>
          <w:rFonts w:hint="eastAsia" w:ascii="新宋体" w:hAnsi="新宋体" w:eastAsia="新宋体" w:cs="新宋体"/>
          <w:color w:val="auto"/>
          <w:sz w:val="21"/>
          <w:szCs w:val="21"/>
        </w:rPr>
        <w:t>税收风险管控</w:t>
      </w:r>
      <w:r>
        <w:rPr>
          <w:rFonts w:hint="eastAsia" w:ascii="新宋体" w:hAnsi="新宋体" w:eastAsia="新宋体" w:cs="新宋体"/>
          <w:color w:val="auto"/>
          <w:sz w:val="21"/>
          <w:szCs w:val="21"/>
          <w:lang w:val="en-US" w:eastAsia="zh-CN"/>
        </w:rPr>
        <w:t>等</w:t>
      </w:r>
      <w:r>
        <w:rPr>
          <w:rFonts w:hint="eastAsia" w:ascii="新宋体" w:hAnsi="新宋体" w:eastAsia="新宋体" w:cs="新宋体"/>
          <w:color w:val="auto"/>
          <w:sz w:val="21"/>
          <w:szCs w:val="21"/>
        </w:rPr>
        <w:t>业务逻辑、操作流程及规范要求融入理论教学环节，强化政策法规、征管制度与实际操作的关联性，使课程内容与行业实践保持动态同步；在教学方法层面，促进实践导向的教学模式创新，通过设计模拟操作任务、案例分析等教学环节，引导学生在任务驱动下主动应用理论知识解决</w:t>
      </w:r>
      <w:r>
        <w:rPr>
          <w:rFonts w:hint="eastAsia" w:ascii="新宋体" w:hAnsi="新宋体" w:eastAsia="新宋体" w:cs="新宋体"/>
          <w:color w:val="auto"/>
          <w:sz w:val="21"/>
          <w:szCs w:val="21"/>
          <w:lang w:val="en-US" w:eastAsia="zh-CN"/>
        </w:rPr>
        <w:t>税务申报、</w:t>
      </w:r>
      <w:r>
        <w:rPr>
          <w:rFonts w:hint="eastAsia" w:ascii="新宋体" w:hAnsi="新宋体" w:eastAsia="新宋体" w:cs="新宋体"/>
          <w:color w:val="auto"/>
          <w:sz w:val="21"/>
          <w:szCs w:val="21"/>
        </w:rPr>
        <w:t>风险识别、评估与应对的实际问题，提升教学过程的互动性与实操性；在课程体系层面，完善理论与实践衔接的课程架构，统筹基础课程与专业课程、单一学科与跨学科课程的教学安排，构建分层递进的实践教学体系，确保学生通过课程学习逐步掌握从基础理论到综合应用的完整知识链，实现专业能力培养与岗位需求的精准对接。</w:t>
      </w:r>
    </w:p>
    <w:p w14:paraId="1B1EF3A1">
      <w:pPr>
        <w:pStyle w:val="5"/>
        <w:spacing w:before="156" w:beforeLines="50" w:after="156" w:afterLines="50"/>
        <w:rPr>
          <w:rFonts w:hint="default" w:ascii="新宋体" w:hAnsi="新宋体" w:eastAsia="新宋体" w:cs="新宋体"/>
          <w:color w:val="auto"/>
          <w:sz w:val="21"/>
          <w:szCs w:val="21"/>
          <w:lang w:val="en-US" w:eastAsia="zh-CN"/>
        </w:rPr>
      </w:pPr>
      <w:r>
        <w:rPr>
          <w:rFonts w:hint="eastAsia" w:ascii="宋体" w:eastAsia="Times New Roman"/>
          <w:b/>
          <w:bCs/>
          <w:color w:val="auto"/>
          <w:lang w:val="en-US" w:eastAsia="zh-CN"/>
        </w:rPr>
        <w:t>二.建设需求</w:t>
      </w:r>
    </w:p>
    <w:p w14:paraId="5C9500D6">
      <w:pPr>
        <w:pStyle w:val="6"/>
        <w:spacing w:line="360" w:lineRule="auto"/>
        <w:ind w:firstLine="420" w:firstLineChars="200"/>
        <w:rPr>
          <w:rFonts w:hint="eastAsia" w:ascii="新宋体" w:hAnsi="新宋体" w:eastAsia="新宋体" w:cs="新宋体"/>
          <w:color w:val="auto"/>
          <w:sz w:val="21"/>
          <w:szCs w:val="21"/>
          <w:lang w:val="en-US" w:eastAsia="zh-CN"/>
        </w:rPr>
      </w:pPr>
      <w:r>
        <w:rPr>
          <w:rFonts w:hint="eastAsia" w:ascii="新宋体" w:hAnsi="新宋体" w:eastAsia="新宋体" w:cs="新宋体"/>
          <w:color w:val="auto"/>
          <w:sz w:val="21"/>
          <w:szCs w:val="21"/>
          <w:lang w:val="en-US" w:eastAsia="zh-CN"/>
        </w:rPr>
        <w:t>1.采购需求</w:t>
      </w:r>
    </w:p>
    <w:p w14:paraId="476A968C">
      <w:pPr>
        <w:pStyle w:val="7"/>
        <w:shd w:val="clear" w:color="auto" w:fill="FFFFFF"/>
        <w:spacing w:before="0" w:beforeAutospacing="0" w:after="0" w:afterAutospacing="0" w:line="360" w:lineRule="auto"/>
        <w:ind w:firstLine="420" w:firstLineChars="200"/>
        <w:jc w:val="both"/>
        <w:rPr>
          <w:rFonts w:hint="eastAsia" w:cs="Times New Roman"/>
          <w:color w:val="auto"/>
          <w:kern w:val="2"/>
          <w:sz w:val="21"/>
          <w:szCs w:val="21"/>
          <w:highlight w:val="none"/>
          <w:lang w:val="en-US" w:eastAsia="zh-CN"/>
        </w:rPr>
      </w:pPr>
      <w:r>
        <w:rPr>
          <w:rFonts w:hint="eastAsia" w:cs="Times New Roman"/>
          <w:color w:val="auto"/>
          <w:kern w:val="2"/>
          <w:sz w:val="21"/>
          <w:szCs w:val="21"/>
          <w:highlight w:val="none"/>
          <w:lang w:val="en-US" w:eastAsia="zh-CN"/>
        </w:rPr>
        <w:t>学校</w:t>
      </w:r>
      <w:r>
        <w:rPr>
          <w:rFonts w:hint="eastAsia" w:ascii="宋体" w:hAnsi="宋体" w:eastAsia="宋体" w:cs="Times New Roman"/>
          <w:color w:val="auto"/>
          <w:kern w:val="2"/>
          <w:sz w:val="21"/>
          <w:szCs w:val="21"/>
          <w:highlight w:val="none"/>
        </w:rPr>
        <w:t>曾在2014年购入纳税申报实训软件</w:t>
      </w:r>
      <w:r>
        <w:rPr>
          <w:rFonts w:hint="eastAsia" w:ascii="宋体" w:hAnsi="宋体" w:eastAsia="宋体" w:cs="Times New Roman"/>
          <w:color w:val="auto"/>
          <w:kern w:val="2"/>
          <w:sz w:val="21"/>
          <w:szCs w:val="21"/>
          <w:highlight w:val="none"/>
          <w:lang w:val="en-US" w:eastAsia="zh-CN"/>
        </w:rPr>
        <w:t>和2020年</w:t>
      </w:r>
      <w:r>
        <w:rPr>
          <w:rFonts w:hint="eastAsia" w:ascii="宋体" w:hAnsi="宋体" w:eastAsia="宋体" w:cs="Times New Roman"/>
          <w:color w:val="auto"/>
          <w:kern w:val="2"/>
          <w:sz w:val="21"/>
          <w:szCs w:val="21"/>
          <w:highlight w:val="none"/>
        </w:rPr>
        <w:t>购入纳税评估实训系统，使用效果较好</w:t>
      </w:r>
      <w:r>
        <w:rPr>
          <w:rFonts w:hint="eastAsia" w:ascii="宋体" w:hAnsi="宋体" w:eastAsia="宋体" w:cs="Times New Roman"/>
          <w:color w:val="auto"/>
          <w:kern w:val="2"/>
          <w:sz w:val="21"/>
          <w:szCs w:val="21"/>
          <w:highlight w:val="none"/>
          <w:lang w:eastAsia="zh-CN"/>
        </w:rPr>
        <w:t>。</w:t>
      </w:r>
      <w:r>
        <w:rPr>
          <w:rFonts w:hint="eastAsia" w:ascii="宋体" w:hAnsi="宋体" w:eastAsia="宋体" w:cs="Times New Roman"/>
          <w:color w:val="auto"/>
          <w:kern w:val="2"/>
          <w:sz w:val="21"/>
          <w:szCs w:val="21"/>
          <w:highlight w:val="none"/>
        </w:rPr>
        <w:t>但是，目前</w:t>
      </w:r>
      <w:r>
        <w:rPr>
          <w:rFonts w:hint="eastAsia" w:cs="Times New Roman"/>
          <w:color w:val="auto"/>
          <w:kern w:val="2"/>
          <w:sz w:val="21"/>
          <w:szCs w:val="21"/>
          <w:highlight w:val="none"/>
          <w:lang w:val="en-US" w:eastAsia="zh-CN"/>
        </w:rPr>
        <w:t>系统</w:t>
      </w:r>
      <w:r>
        <w:rPr>
          <w:rFonts w:hint="eastAsia" w:ascii="宋体" w:hAnsi="宋体" w:eastAsia="宋体" w:cs="Times New Roman"/>
          <w:color w:val="auto"/>
          <w:kern w:val="2"/>
          <w:sz w:val="21"/>
          <w:szCs w:val="21"/>
          <w:highlight w:val="none"/>
        </w:rPr>
        <w:t>在</w:t>
      </w:r>
      <w:r>
        <w:rPr>
          <w:rFonts w:hint="eastAsia" w:ascii="宋体" w:hAnsi="宋体" w:eastAsia="宋体" w:cs="Times New Roman"/>
          <w:color w:val="auto"/>
          <w:kern w:val="2"/>
          <w:sz w:val="21"/>
          <w:szCs w:val="21"/>
          <w:highlight w:val="none"/>
          <w:lang w:val="en-US" w:eastAsia="zh-CN"/>
        </w:rPr>
        <w:t>模块功能</w:t>
      </w:r>
      <w:r>
        <w:rPr>
          <w:rFonts w:hint="eastAsia" w:ascii="宋体" w:hAnsi="宋体" w:eastAsia="宋体" w:cs="Times New Roman"/>
          <w:color w:val="auto"/>
          <w:kern w:val="2"/>
          <w:sz w:val="21"/>
          <w:szCs w:val="21"/>
          <w:highlight w:val="none"/>
        </w:rPr>
        <w:t>方面还需要扩展，为了提高学生的涉税实务处理能力，</w:t>
      </w:r>
      <w:r>
        <w:rPr>
          <w:rFonts w:hint="eastAsia" w:cs="Times New Roman"/>
          <w:color w:val="auto"/>
          <w:kern w:val="2"/>
          <w:sz w:val="21"/>
          <w:szCs w:val="21"/>
          <w:highlight w:val="none"/>
          <w:lang w:val="en-US" w:eastAsia="zh-CN"/>
        </w:rPr>
        <w:t>拟采购“数智税务实训平台”，包含</w:t>
      </w:r>
      <w:r>
        <w:rPr>
          <w:rFonts w:hint="eastAsia" w:ascii="宋体" w:hAnsi="宋体" w:eastAsia="宋体" w:cs="Times New Roman"/>
          <w:color w:val="auto"/>
          <w:kern w:val="2"/>
          <w:sz w:val="21"/>
          <w:szCs w:val="21"/>
          <w:highlight w:val="none"/>
        </w:rPr>
        <w:t>电子税务局实训平台</w:t>
      </w:r>
      <w:r>
        <w:rPr>
          <w:rFonts w:hint="eastAsia" w:ascii="宋体" w:hAnsi="宋体" w:eastAsia="宋体" w:cs="Times New Roman"/>
          <w:color w:val="auto"/>
          <w:kern w:val="2"/>
          <w:sz w:val="21"/>
          <w:szCs w:val="21"/>
          <w:highlight w:val="none"/>
          <w:lang w:val="en-US" w:eastAsia="zh-CN"/>
        </w:rPr>
        <w:t>和</w:t>
      </w:r>
      <w:r>
        <w:rPr>
          <w:rFonts w:hint="eastAsia" w:ascii="宋体" w:hAnsi="宋体" w:eastAsia="宋体" w:cs="Times New Roman"/>
          <w:color w:val="auto"/>
          <w:kern w:val="2"/>
          <w:sz w:val="21"/>
          <w:szCs w:val="21"/>
          <w:highlight w:val="none"/>
        </w:rPr>
        <w:t>税收风险管控实验系统</w:t>
      </w:r>
      <w:r>
        <w:rPr>
          <w:rFonts w:hint="eastAsia" w:cs="Times New Roman"/>
          <w:color w:val="auto"/>
          <w:kern w:val="2"/>
          <w:sz w:val="21"/>
          <w:szCs w:val="21"/>
          <w:highlight w:val="none"/>
          <w:lang w:eastAsia="zh-CN"/>
        </w:rPr>
        <w:t>，</w:t>
      </w:r>
      <w:r>
        <w:rPr>
          <w:rFonts w:hint="eastAsia" w:ascii="宋体" w:hAnsi="宋体" w:eastAsia="宋体" w:cs="Times New Roman"/>
          <w:color w:val="auto"/>
          <w:kern w:val="2"/>
          <w:sz w:val="21"/>
          <w:szCs w:val="21"/>
          <w:highlight w:val="none"/>
        </w:rPr>
        <w:t>让学生得到</w:t>
      </w:r>
      <w:r>
        <w:rPr>
          <w:rFonts w:hint="eastAsia" w:cs="Times New Roman"/>
          <w:color w:val="auto"/>
          <w:kern w:val="2"/>
          <w:sz w:val="21"/>
          <w:szCs w:val="21"/>
          <w:highlight w:val="none"/>
          <w:lang w:val="en-US" w:eastAsia="zh-CN"/>
        </w:rPr>
        <w:t>数智场景下的综合税务实训</w:t>
      </w:r>
      <w:r>
        <w:rPr>
          <w:rFonts w:hint="eastAsia" w:ascii="宋体" w:hAnsi="宋体" w:eastAsia="宋体" w:cs="Times New Roman"/>
          <w:color w:val="auto"/>
          <w:kern w:val="2"/>
          <w:sz w:val="21"/>
          <w:szCs w:val="21"/>
          <w:highlight w:val="none"/>
        </w:rPr>
        <w:t>，</w:t>
      </w:r>
      <w:r>
        <w:rPr>
          <w:rFonts w:hint="eastAsia" w:cs="Times New Roman"/>
          <w:color w:val="auto"/>
          <w:kern w:val="2"/>
          <w:sz w:val="21"/>
          <w:szCs w:val="21"/>
          <w:highlight w:val="none"/>
          <w:lang w:val="en-US" w:eastAsia="zh-CN"/>
        </w:rPr>
        <w:t>以适应税收征管新要求，提升职业竞争力。</w:t>
      </w:r>
    </w:p>
    <w:p w14:paraId="1013A2A5">
      <w:pPr>
        <w:pStyle w:val="7"/>
        <w:shd w:val="clear" w:color="auto" w:fill="FFFFFF"/>
        <w:spacing w:before="0" w:beforeAutospacing="0" w:after="0" w:afterAutospacing="0" w:line="360" w:lineRule="auto"/>
        <w:ind w:firstLine="420" w:firstLineChars="200"/>
        <w:jc w:val="both"/>
        <w:rPr>
          <w:rFonts w:hint="eastAsia" w:ascii="新宋体" w:hAnsi="新宋体" w:eastAsia="宋体" w:cs="新宋体"/>
          <w:color w:val="auto"/>
          <w:sz w:val="21"/>
          <w:szCs w:val="21"/>
          <w:lang w:val="en-US" w:eastAsia="zh-CN"/>
        </w:rPr>
      </w:pPr>
      <w:r>
        <w:rPr>
          <w:rFonts w:hint="eastAsia" w:ascii="宋体" w:hAnsi="宋体" w:eastAsia="宋体" w:cs="Times New Roman"/>
          <w:color w:val="auto"/>
          <w:kern w:val="2"/>
          <w:sz w:val="21"/>
          <w:szCs w:val="21"/>
          <w:highlight w:val="none"/>
        </w:rPr>
        <w:t>该系统的主要用户有：学生、</w:t>
      </w:r>
      <w:r>
        <w:rPr>
          <w:rFonts w:hint="eastAsia" w:cs="Times New Roman"/>
          <w:color w:val="auto"/>
          <w:kern w:val="2"/>
          <w:sz w:val="21"/>
          <w:szCs w:val="21"/>
          <w:highlight w:val="none"/>
          <w:lang w:val="en-US" w:eastAsia="zh-CN"/>
        </w:rPr>
        <w:t>教</w:t>
      </w:r>
      <w:r>
        <w:rPr>
          <w:rFonts w:hint="eastAsia" w:ascii="宋体" w:hAnsi="宋体" w:eastAsia="宋体" w:cs="Times New Roman"/>
          <w:color w:val="auto"/>
          <w:kern w:val="2"/>
          <w:sz w:val="21"/>
          <w:szCs w:val="21"/>
          <w:highlight w:val="none"/>
        </w:rPr>
        <w:t>师及学校教务管理工作者等</w:t>
      </w:r>
      <w:r>
        <w:rPr>
          <w:rFonts w:hint="eastAsia" w:ascii="宋体" w:hAnsi="宋体" w:eastAsia="宋体" w:cs="Times New Roman"/>
          <w:color w:val="auto"/>
          <w:kern w:val="2"/>
          <w:sz w:val="21"/>
          <w:szCs w:val="21"/>
          <w:highlight w:val="none"/>
          <w:lang w:eastAsia="zh-CN"/>
        </w:rPr>
        <w:t>，</w:t>
      </w:r>
      <w:r>
        <w:rPr>
          <w:rFonts w:hint="eastAsia" w:ascii="宋体" w:hAnsi="宋体" w:eastAsia="宋体" w:cs="Times New Roman"/>
          <w:color w:val="auto"/>
          <w:kern w:val="2"/>
          <w:sz w:val="21"/>
          <w:szCs w:val="21"/>
          <w:highlight w:val="none"/>
        </w:rPr>
        <w:t>教师端建班开课时的账号数量不受限，能满足不少于</w:t>
      </w:r>
      <w:r>
        <w:rPr>
          <w:rFonts w:hint="eastAsia" w:ascii="宋体" w:hAnsi="宋体" w:eastAsia="宋体" w:cs="Times New Roman"/>
          <w:color w:val="auto"/>
          <w:kern w:val="2"/>
          <w:sz w:val="21"/>
          <w:szCs w:val="21"/>
          <w:highlight w:val="none"/>
          <w:lang w:val="en-US" w:eastAsia="zh-CN"/>
        </w:rPr>
        <w:t>2</w:t>
      </w:r>
      <w:r>
        <w:rPr>
          <w:rFonts w:hint="eastAsia" w:ascii="宋体" w:hAnsi="宋体" w:eastAsia="宋体" w:cs="Times New Roman"/>
          <w:color w:val="auto"/>
          <w:kern w:val="2"/>
          <w:sz w:val="21"/>
          <w:szCs w:val="21"/>
          <w:highlight w:val="none"/>
        </w:rPr>
        <w:t>00人同时在线。</w:t>
      </w:r>
    </w:p>
    <w:p w14:paraId="216BF0A5">
      <w:pPr>
        <w:pStyle w:val="6"/>
        <w:numPr>
          <w:ilvl w:val="0"/>
          <w:numId w:val="0"/>
        </w:numPr>
        <w:spacing w:line="360" w:lineRule="auto"/>
        <w:ind w:firstLine="420" w:firstLineChars="200"/>
        <w:rPr>
          <w:rFonts w:hint="eastAsia" w:ascii="新宋体" w:hAnsi="新宋体" w:eastAsia="新宋体" w:cs="新宋体"/>
          <w:color w:val="auto"/>
          <w:sz w:val="21"/>
          <w:szCs w:val="21"/>
          <w:lang w:val="en-US" w:eastAsia="zh-CN"/>
        </w:rPr>
      </w:pPr>
      <w:r>
        <w:rPr>
          <w:rFonts w:hint="eastAsia" w:ascii="新宋体" w:hAnsi="新宋体" w:eastAsia="新宋体" w:cs="新宋体"/>
          <w:color w:val="auto"/>
          <w:sz w:val="21"/>
          <w:szCs w:val="21"/>
          <w:lang w:val="en-US" w:eastAsia="zh-CN"/>
        </w:rPr>
        <w:t>2.建设内容</w:t>
      </w:r>
    </w:p>
    <w:p w14:paraId="11353A1E">
      <w:pPr>
        <w:pStyle w:val="6"/>
        <w:numPr>
          <w:ilvl w:val="0"/>
          <w:numId w:val="0"/>
        </w:numPr>
        <w:spacing w:line="360" w:lineRule="auto"/>
        <w:ind w:firstLine="422" w:firstLineChars="200"/>
        <w:rPr>
          <w:rFonts w:hint="default" w:ascii="新宋体" w:hAnsi="新宋体" w:eastAsia="新宋体" w:cs="新宋体"/>
          <w:b/>
          <w:bCs/>
          <w:color w:val="auto"/>
          <w:sz w:val="21"/>
          <w:szCs w:val="21"/>
          <w:lang w:val="en-US" w:eastAsia="zh-CN"/>
        </w:rPr>
      </w:pPr>
      <w:r>
        <w:rPr>
          <w:rFonts w:hint="eastAsia" w:ascii="新宋体" w:hAnsi="新宋体" w:eastAsia="新宋体" w:cs="新宋体"/>
          <w:b/>
          <w:bCs/>
          <w:color w:val="auto"/>
          <w:sz w:val="21"/>
          <w:szCs w:val="21"/>
          <w:lang w:val="en-US" w:eastAsia="zh-CN"/>
        </w:rPr>
        <w:t>“数智税务实训平台”应包含税收风险管控实验系统和电子税务局实训平台，具体功能参数及要求如下：</w:t>
      </w:r>
    </w:p>
    <w:tbl>
      <w:tblPr>
        <w:tblStyle w:val="3"/>
        <w:tblW w:w="88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6"/>
        <w:gridCol w:w="991"/>
        <w:gridCol w:w="5780"/>
        <w:gridCol w:w="487"/>
        <w:gridCol w:w="525"/>
        <w:gridCol w:w="476"/>
      </w:tblGrid>
      <w:tr w14:paraId="32A96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566" w:type="dxa"/>
            <w:noWrap w:val="0"/>
            <w:vAlign w:val="center"/>
          </w:tcPr>
          <w:p w14:paraId="3CECE07E">
            <w:pPr>
              <w:spacing w:line="360" w:lineRule="auto"/>
              <w:jc w:val="center"/>
              <w:rPr>
                <w:rFonts w:hint="eastAsia" w:ascii="宋体" w:hAnsi="宋体" w:eastAsia="宋体" w:cs="宋体"/>
                <w:color w:val="auto"/>
                <w:sz w:val="21"/>
                <w:szCs w:val="21"/>
              </w:rPr>
            </w:pPr>
            <w:r>
              <w:rPr>
                <w:rFonts w:hint="eastAsia" w:ascii="宋体" w:hAnsi="宋体" w:eastAsia="宋体" w:cs="宋体"/>
                <w:b/>
                <w:color w:val="auto"/>
                <w:sz w:val="21"/>
                <w:szCs w:val="21"/>
              </w:rPr>
              <w:t>序号</w:t>
            </w:r>
          </w:p>
        </w:tc>
        <w:tc>
          <w:tcPr>
            <w:tcW w:w="991" w:type="dxa"/>
            <w:noWrap w:val="0"/>
            <w:vAlign w:val="center"/>
          </w:tcPr>
          <w:p w14:paraId="729A9798">
            <w:pPr>
              <w:spacing w:line="360" w:lineRule="auto"/>
              <w:jc w:val="center"/>
              <w:rPr>
                <w:rFonts w:hint="eastAsia" w:ascii="宋体" w:hAnsi="宋体" w:eastAsia="宋体" w:cs="宋体"/>
                <w:color w:val="auto"/>
                <w:sz w:val="21"/>
                <w:szCs w:val="21"/>
              </w:rPr>
            </w:pPr>
            <w:r>
              <w:rPr>
                <w:rFonts w:hint="eastAsia" w:ascii="宋体" w:hAnsi="宋体" w:eastAsia="宋体" w:cs="宋体"/>
                <w:b/>
                <w:color w:val="auto"/>
                <w:sz w:val="21"/>
                <w:szCs w:val="21"/>
                <w:lang w:val="en-US" w:eastAsia="zh-CN"/>
              </w:rPr>
              <w:t>软件</w:t>
            </w:r>
            <w:r>
              <w:rPr>
                <w:rFonts w:hint="eastAsia" w:ascii="宋体" w:hAnsi="宋体" w:eastAsia="宋体" w:cs="宋体"/>
                <w:b/>
                <w:color w:val="auto"/>
                <w:sz w:val="21"/>
                <w:szCs w:val="21"/>
              </w:rPr>
              <w:t>名称</w:t>
            </w:r>
          </w:p>
        </w:tc>
        <w:tc>
          <w:tcPr>
            <w:tcW w:w="5780" w:type="dxa"/>
            <w:noWrap w:val="0"/>
            <w:vAlign w:val="center"/>
          </w:tcPr>
          <w:p w14:paraId="287BEA81">
            <w:pPr>
              <w:spacing w:line="360" w:lineRule="auto"/>
              <w:jc w:val="center"/>
              <w:rPr>
                <w:rFonts w:hint="eastAsia" w:ascii="宋体" w:hAnsi="宋体" w:eastAsia="宋体" w:cs="宋体"/>
                <w:color w:val="auto"/>
                <w:sz w:val="21"/>
                <w:szCs w:val="21"/>
              </w:rPr>
            </w:pPr>
            <w:r>
              <w:rPr>
                <w:rFonts w:hint="eastAsia" w:ascii="宋体" w:hAnsi="宋体" w:eastAsia="宋体" w:cs="宋体"/>
                <w:b/>
                <w:color w:val="auto"/>
                <w:sz w:val="21"/>
                <w:szCs w:val="21"/>
                <w:lang w:val="en-US" w:eastAsia="zh-CN"/>
              </w:rPr>
              <w:t>功能</w:t>
            </w:r>
            <w:r>
              <w:rPr>
                <w:rFonts w:hint="eastAsia" w:ascii="宋体" w:hAnsi="宋体" w:eastAsia="宋体" w:cs="宋体"/>
                <w:b/>
                <w:color w:val="auto"/>
                <w:sz w:val="21"/>
                <w:szCs w:val="21"/>
              </w:rPr>
              <w:t>参数及要求</w:t>
            </w:r>
          </w:p>
        </w:tc>
        <w:tc>
          <w:tcPr>
            <w:tcW w:w="487" w:type="dxa"/>
            <w:noWrap w:val="0"/>
            <w:vAlign w:val="center"/>
          </w:tcPr>
          <w:p w14:paraId="1E313E6E">
            <w:pPr>
              <w:spacing w:line="360" w:lineRule="auto"/>
              <w:jc w:val="center"/>
              <w:rPr>
                <w:rFonts w:hint="eastAsia" w:ascii="宋体" w:hAnsi="宋体" w:eastAsia="宋体" w:cs="宋体"/>
                <w:color w:val="auto"/>
                <w:sz w:val="21"/>
                <w:szCs w:val="21"/>
              </w:rPr>
            </w:pPr>
            <w:r>
              <w:rPr>
                <w:rFonts w:hint="eastAsia" w:ascii="宋体" w:hAnsi="宋体" w:eastAsia="宋体" w:cs="宋体"/>
                <w:bCs/>
                <w:color w:val="auto"/>
                <w:kern w:val="0"/>
                <w:sz w:val="21"/>
                <w:szCs w:val="21"/>
              </w:rPr>
              <w:t>数量</w:t>
            </w:r>
          </w:p>
        </w:tc>
        <w:tc>
          <w:tcPr>
            <w:tcW w:w="525" w:type="dxa"/>
            <w:noWrap w:val="0"/>
            <w:vAlign w:val="center"/>
          </w:tcPr>
          <w:p w14:paraId="0ABD64CE">
            <w:pPr>
              <w:spacing w:line="360" w:lineRule="auto"/>
              <w:jc w:val="left"/>
              <w:rPr>
                <w:rFonts w:hint="eastAsia" w:ascii="宋体" w:hAnsi="宋体" w:eastAsia="宋体" w:cs="宋体"/>
                <w:color w:val="auto"/>
                <w:sz w:val="21"/>
                <w:szCs w:val="21"/>
              </w:rPr>
            </w:pPr>
            <w:r>
              <w:rPr>
                <w:rFonts w:hint="eastAsia" w:ascii="宋体" w:hAnsi="宋体" w:eastAsia="宋体" w:cs="宋体"/>
                <w:bCs/>
                <w:color w:val="auto"/>
                <w:kern w:val="0"/>
                <w:sz w:val="21"/>
                <w:szCs w:val="21"/>
              </w:rPr>
              <w:t>单位</w:t>
            </w:r>
          </w:p>
        </w:tc>
        <w:tc>
          <w:tcPr>
            <w:tcW w:w="476" w:type="dxa"/>
            <w:noWrap w:val="0"/>
            <w:vAlign w:val="center"/>
          </w:tcPr>
          <w:p w14:paraId="36C73FDE">
            <w:pPr>
              <w:spacing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备注</w:t>
            </w:r>
          </w:p>
        </w:tc>
      </w:tr>
      <w:tr w14:paraId="32DA2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6" w:type="dxa"/>
            <w:noWrap w:val="0"/>
            <w:vAlign w:val="center"/>
          </w:tcPr>
          <w:p w14:paraId="2698E932">
            <w:pPr>
              <w:spacing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w:t>
            </w:r>
          </w:p>
        </w:tc>
        <w:tc>
          <w:tcPr>
            <w:tcW w:w="991" w:type="dxa"/>
            <w:noWrap w:val="0"/>
            <w:vAlign w:val="center"/>
          </w:tcPr>
          <w:p w14:paraId="6C60B1B3">
            <w:pPr>
              <w:spacing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税收风险管控实验系统</w:t>
            </w:r>
          </w:p>
        </w:tc>
        <w:tc>
          <w:tcPr>
            <w:tcW w:w="5780" w:type="dxa"/>
            <w:noWrap w:val="0"/>
            <w:vAlign w:val="center"/>
          </w:tcPr>
          <w:p w14:paraId="5AA85E9E">
            <w:pPr>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eastAsia="宋体" w:cs="宋体"/>
                <w:color w:val="auto"/>
                <w:sz w:val="21"/>
                <w:szCs w:val="21"/>
                <w:shd w:val="clear" w:color="auto" w:fill="FFFFFF"/>
              </w:rPr>
              <w:t>系统</w:t>
            </w:r>
            <w:r>
              <w:rPr>
                <w:rFonts w:hint="eastAsia" w:ascii="宋体" w:hAnsi="宋体" w:eastAsia="宋体" w:cs="宋体"/>
                <w:color w:val="auto"/>
                <w:sz w:val="21"/>
                <w:szCs w:val="21"/>
              </w:rPr>
              <w:t>采用B/S架构开发，用户通过主流浏览器即可访问，无需安装客户端软件，具备高扩展性和低维护成本特性；</w:t>
            </w:r>
          </w:p>
          <w:p w14:paraId="0842C871">
            <w:pPr>
              <w:rPr>
                <w:rFonts w:hint="eastAsia" w:ascii="宋体" w:hAnsi="宋体" w:eastAsia="宋体" w:cs="宋体"/>
                <w:color w:val="auto"/>
                <w:sz w:val="21"/>
                <w:szCs w:val="21"/>
              </w:rPr>
            </w:pPr>
            <w:r>
              <w:rPr>
                <w:rFonts w:hint="eastAsia" w:ascii="宋体" w:hAnsi="宋体" w:eastAsia="宋体" w:cs="宋体"/>
                <w:color w:val="auto"/>
                <w:sz w:val="21"/>
                <w:szCs w:val="21"/>
              </w:rPr>
              <w:t>2.系统需为学生提供对应班级的案例选择列表，其列表按案例作答状态不同对于立即进入和重新开始按钮进行控制，支持更换设备等可继续作答；</w:t>
            </w:r>
          </w:p>
          <w:p w14:paraId="05103FE4">
            <w:pPr>
              <w:rPr>
                <w:rFonts w:hint="eastAsia" w:ascii="宋体" w:hAnsi="宋体" w:eastAsia="宋体" w:cs="宋体"/>
                <w:color w:val="auto"/>
                <w:sz w:val="21"/>
                <w:szCs w:val="21"/>
              </w:rPr>
            </w:pPr>
            <w:r>
              <w:rPr>
                <w:rFonts w:hint="eastAsia" w:ascii="宋体" w:hAnsi="宋体" w:eastAsia="宋体" w:cs="宋体"/>
                <w:color w:val="auto"/>
                <w:sz w:val="21"/>
                <w:szCs w:val="21"/>
              </w:rPr>
              <w:t>3.学生在案例作答前通过图片或文字形式了解案例的操作流程、学习指引、实验目标及实验目的；</w:t>
            </w:r>
          </w:p>
          <w:p w14:paraId="5B6FC114">
            <w:pPr>
              <w:rPr>
                <w:rFonts w:hint="eastAsia" w:ascii="宋体" w:hAnsi="宋体" w:eastAsia="宋体" w:cs="宋体"/>
                <w:color w:val="auto"/>
                <w:sz w:val="21"/>
                <w:szCs w:val="21"/>
              </w:rPr>
            </w:pPr>
            <w:r>
              <w:rPr>
                <w:rFonts w:hint="eastAsia" w:ascii="宋体" w:hAnsi="宋体" w:eastAsia="宋体" w:cs="宋体"/>
                <w:color w:val="auto"/>
                <w:sz w:val="21"/>
                <w:szCs w:val="21"/>
              </w:rPr>
              <w:t>4.★案例设计需满足单个风险方向按评析、核实、认定、处理的四阶段纳税评估流程完成作答操作；</w:t>
            </w: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投标文件中提供证明材料</w:t>
            </w:r>
            <w:r>
              <w:rPr>
                <w:rFonts w:hint="eastAsia" w:ascii="宋体" w:hAnsi="宋体" w:eastAsia="宋体" w:cs="宋体"/>
                <w:b/>
                <w:bCs/>
                <w:color w:val="auto"/>
                <w:sz w:val="21"/>
                <w:szCs w:val="21"/>
                <w:highlight w:val="none"/>
              </w:rPr>
              <w:t>）</w:t>
            </w:r>
          </w:p>
          <w:p w14:paraId="694EFF65">
            <w:pPr>
              <w:rPr>
                <w:rFonts w:hint="eastAsia" w:ascii="宋体" w:hAnsi="宋体" w:eastAsia="宋体" w:cs="宋体"/>
                <w:color w:val="auto"/>
                <w:sz w:val="21"/>
                <w:szCs w:val="21"/>
              </w:rPr>
            </w:pPr>
            <w:r>
              <w:rPr>
                <w:rFonts w:hint="eastAsia" w:ascii="宋体" w:hAnsi="宋体" w:eastAsia="宋体" w:cs="宋体"/>
                <w:color w:val="auto"/>
                <w:sz w:val="21"/>
                <w:szCs w:val="21"/>
              </w:rPr>
              <w:t>5.案例涉及的企业信息包含但不限于行业情况、企业情况、样本企业预警值资料、风险指标偏离度与风险区间判定、财务报表、纳税申报表等支持完成税收风险管控作答的基础资料；</w:t>
            </w:r>
          </w:p>
          <w:p w14:paraId="16A8AB72">
            <w:pPr>
              <w:rPr>
                <w:rFonts w:hint="eastAsia" w:ascii="宋体" w:hAnsi="宋体" w:eastAsia="宋体" w:cs="宋体"/>
                <w:color w:val="auto"/>
                <w:sz w:val="21"/>
                <w:szCs w:val="21"/>
              </w:rPr>
            </w:pPr>
            <w:r>
              <w:rPr>
                <w:rFonts w:hint="eastAsia" w:ascii="宋体" w:hAnsi="宋体" w:eastAsia="宋体" w:cs="宋体"/>
                <w:color w:val="auto"/>
                <w:sz w:val="21"/>
                <w:szCs w:val="21"/>
              </w:rPr>
              <w:t>6.评析阶段支持风险验证指标选取、风险预警值设定、风险特征计算、风险判断和结论，其风险预警值设定、风险特征计算需根据所选择不同指标显示不同的下拉数据及测试过程；</w:t>
            </w:r>
          </w:p>
          <w:p w14:paraId="5FC60183">
            <w:pPr>
              <w:rPr>
                <w:rFonts w:hint="eastAsia" w:ascii="宋体" w:hAnsi="宋体" w:eastAsia="宋体" w:cs="宋体"/>
                <w:color w:val="auto"/>
                <w:sz w:val="21"/>
                <w:szCs w:val="21"/>
              </w:rPr>
            </w:pPr>
            <w:r>
              <w:rPr>
                <w:rFonts w:hint="eastAsia" w:ascii="宋体" w:hAnsi="宋体" w:eastAsia="宋体" w:cs="宋体"/>
                <w:color w:val="auto"/>
                <w:sz w:val="21"/>
                <w:szCs w:val="21"/>
              </w:rPr>
              <w:t>7.核实阶段支持风险提示告知、约谈举证及实地核查的不同处理方式，另根据不同的风险等级选择确初始核实方式，且核实方式在作答过程中根据情况可进行特定条件的触发切换，未触发时候不可切换处理方式；</w:t>
            </w:r>
          </w:p>
          <w:p w14:paraId="4A34FB45">
            <w:pPr>
              <w:rPr>
                <w:rFonts w:hint="eastAsia" w:ascii="宋体" w:hAnsi="宋体" w:eastAsia="宋体" w:cs="宋体"/>
                <w:color w:val="auto"/>
                <w:sz w:val="21"/>
                <w:szCs w:val="21"/>
              </w:rPr>
            </w:pPr>
            <w:r>
              <w:rPr>
                <w:rFonts w:hint="eastAsia" w:ascii="宋体" w:hAnsi="宋体" w:eastAsia="宋体" w:cs="宋体"/>
                <w:color w:val="auto"/>
                <w:sz w:val="21"/>
                <w:szCs w:val="21"/>
              </w:rPr>
              <w:t>8.认定阶段支持问题核实、法律定性标准及认定文书生成的学生作答操作，作答过程中依据评析阶段选择的不同指标显示对应步骤的不同选项；</w:t>
            </w:r>
          </w:p>
          <w:p w14:paraId="6D98697E">
            <w:pPr>
              <w:rPr>
                <w:rFonts w:hint="eastAsia" w:ascii="宋体" w:hAnsi="宋体" w:eastAsia="宋体" w:cs="宋体"/>
                <w:color w:val="auto"/>
                <w:sz w:val="21"/>
                <w:szCs w:val="21"/>
              </w:rPr>
            </w:pPr>
            <w:r>
              <w:rPr>
                <w:rFonts w:hint="eastAsia" w:ascii="宋体" w:hAnsi="宋体" w:eastAsia="宋体" w:cs="宋体"/>
                <w:color w:val="auto"/>
                <w:sz w:val="21"/>
                <w:szCs w:val="21"/>
              </w:rPr>
              <w:t>9.处理阶段支持处理依据确认、处理方式确认及知识拓展，其中处理方式可通过添加方式添加多种处理形式（包括但不限于补税、纳税调整、罚款等）；</w:t>
            </w:r>
          </w:p>
          <w:p w14:paraId="0B140867">
            <w:pPr>
              <w:rPr>
                <w:rFonts w:hint="eastAsia" w:ascii="宋体" w:hAnsi="宋体" w:eastAsia="宋体" w:cs="宋体"/>
                <w:color w:val="auto"/>
                <w:sz w:val="21"/>
                <w:szCs w:val="21"/>
              </w:rPr>
            </w:pPr>
            <w:r>
              <w:rPr>
                <w:rFonts w:hint="eastAsia" w:ascii="宋体" w:hAnsi="宋体" w:eastAsia="宋体" w:cs="宋体"/>
                <w:color w:val="auto"/>
                <w:sz w:val="21"/>
                <w:szCs w:val="21"/>
              </w:rPr>
              <w:t>10.★案例作答过程中对于风险方向判断为不存在风险则可根据作答选项系统自动在评析阶段或认定阶段作答完毕后返回风险方向选择，并标记为已完成；</w:t>
            </w: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投标文件中提供证明材料</w:t>
            </w:r>
            <w:r>
              <w:rPr>
                <w:rFonts w:hint="eastAsia" w:ascii="宋体" w:hAnsi="宋体" w:eastAsia="宋体" w:cs="宋体"/>
                <w:b/>
                <w:bCs/>
                <w:color w:val="auto"/>
                <w:sz w:val="21"/>
                <w:szCs w:val="21"/>
                <w:highlight w:val="none"/>
              </w:rPr>
              <w:t>）</w:t>
            </w:r>
          </w:p>
          <w:p w14:paraId="1A931430">
            <w:pPr>
              <w:rPr>
                <w:rFonts w:hint="eastAsia" w:ascii="宋体" w:hAnsi="宋体" w:eastAsia="宋体" w:cs="宋体"/>
                <w:color w:val="auto"/>
                <w:sz w:val="21"/>
                <w:szCs w:val="21"/>
              </w:rPr>
            </w:pPr>
            <w:r>
              <w:rPr>
                <w:rFonts w:hint="eastAsia" w:ascii="宋体" w:hAnsi="宋体" w:eastAsia="宋体" w:cs="宋体"/>
                <w:color w:val="auto"/>
                <w:sz w:val="21"/>
                <w:szCs w:val="21"/>
              </w:rPr>
              <w:t>11.案例评分需要风险方向满分100分的方式独立评分，结合教师评分形成案例作答的最终成绩；</w:t>
            </w:r>
          </w:p>
          <w:p w14:paraId="177A34D4">
            <w:pPr>
              <w:rPr>
                <w:rFonts w:hint="eastAsia" w:ascii="宋体" w:hAnsi="宋体" w:eastAsia="宋体" w:cs="宋体"/>
                <w:color w:val="auto"/>
                <w:sz w:val="21"/>
                <w:szCs w:val="21"/>
              </w:rPr>
            </w:pPr>
            <w:r>
              <w:rPr>
                <w:rFonts w:hint="eastAsia" w:ascii="宋体" w:hAnsi="宋体" w:eastAsia="宋体" w:cs="宋体"/>
                <w:color w:val="auto"/>
                <w:sz w:val="21"/>
                <w:szCs w:val="21"/>
              </w:rPr>
              <w:t>12.★作答详情中显示风险方向的完整作答数据，并给于相应题目的分值，同时未获得满分的风险方向需要特殊标记便于学生查错，且配备教师可控制开启/关闭的针对风险方向的业务解析；</w:t>
            </w: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投标文件中提供证明材料</w:t>
            </w:r>
            <w:r>
              <w:rPr>
                <w:rFonts w:hint="eastAsia" w:ascii="宋体" w:hAnsi="宋体" w:eastAsia="宋体" w:cs="宋体"/>
                <w:b/>
                <w:bCs/>
                <w:color w:val="auto"/>
                <w:sz w:val="21"/>
                <w:szCs w:val="21"/>
                <w:highlight w:val="none"/>
              </w:rPr>
              <w:t>）</w:t>
            </w:r>
          </w:p>
          <w:p w14:paraId="4649761E">
            <w:pPr>
              <w:rPr>
                <w:rFonts w:hint="eastAsia" w:ascii="宋体" w:hAnsi="宋体" w:eastAsia="宋体" w:cs="宋体"/>
                <w:color w:val="auto"/>
                <w:sz w:val="21"/>
                <w:szCs w:val="21"/>
              </w:rPr>
            </w:pPr>
            <w:r>
              <w:rPr>
                <w:rFonts w:hint="eastAsia" w:ascii="宋体" w:hAnsi="宋体" w:eastAsia="宋体" w:cs="宋体"/>
                <w:color w:val="auto"/>
                <w:sz w:val="21"/>
                <w:szCs w:val="21"/>
              </w:rPr>
              <w:t>13.学生可在已完成的作答记录中编辑自身的实验心得，同时可以查阅教师给予的教师点评查询；</w:t>
            </w:r>
          </w:p>
          <w:p w14:paraId="0B453338">
            <w:pPr>
              <w:rPr>
                <w:rFonts w:hint="eastAsia" w:ascii="宋体" w:hAnsi="宋体" w:eastAsia="宋体" w:cs="宋体"/>
                <w:color w:val="auto"/>
                <w:sz w:val="21"/>
                <w:szCs w:val="21"/>
              </w:rPr>
            </w:pPr>
            <w:r>
              <w:rPr>
                <w:rFonts w:hint="eastAsia" w:ascii="宋体" w:hAnsi="宋体" w:eastAsia="宋体" w:cs="宋体"/>
                <w:color w:val="auto"/>
                <w:sz w:val="21"/>
                <w:szCs w:val="21"/>
              </w:rPr>
              <w:t>14.教师端在案例管理中可通过查看按钮查询案例企业数据及作答完整正确答案，以满足教师案例备课应用；通过案例发布满足针对性班级活动发布，发布活动时支持案例时限和成绩占比的设置，学生提交时候自动计算；</w:t>
            </w:r>
          </w:p>
          <w:p w14:paraId="78CAA868">
            <w:pPr>
              <w:rPr>
                <w:rFonts w:hint="eastAsia" w:ascii="宋体" w:hAnsi="宋体" w:eastAsia="宋体" w:cs="宋体"/>
                <w:color w:val="auto"/>
                <w:sz w:val="21"/>
                <w:szCs w:val="21"/>
              </w:rPr>
            </w:pPr>
            <w:r>
              <w:rPr>
                <w:rFonts w:hint="eastAsia" w:ascii="宋体" w:hAnsi="宋体" w:eastAsia="宋体" w:cs="宋体"/>
                <w:color w:val="auto"/>
                <w:sz w:val="21"/>
                <w:szCs w:val="21"/>
              </w:rPr>
              <w:t>15.★教师端在进行成绩查询时满足对于学生作答详情的查询，并通过人工评分进行教师主观成绩的分值评定，并由系统按主管和客观成绩自动计算最终成绩，在评定过程中教师可通过系统编辑教师点评针对性的教学指导；</w:t>
            </w: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投标文件中提供证明材料</w:t>
            </w:r>
            <w:r>
              <w:rPr>
                <w:rFonts w:hint="eastAsia" w:ascii="宋体" w:hAnsi="宋体" w:eastAsia="宋体" w:cs="宋体"/>
                <w:b/>
                <w:bCs/>
                <w:color w:val="auto"/>
                <w:sz w:val="21"/>
                <w:szCs w:val="21"/>
                <w:highlight w:val="none"/>
              </w:rPr>
              <w:t>）</w:t>
            </w:r>
          </w:p>
          <w:p w14:paraId="6E8A8BCF">
            <w:pPr>
              <w:pStyle w:val="8"/>
              <w:ind w:left="1"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eastAsia="宋体" w:cs="宋体"/>
                <w:color w:val="auto"/>
                <w:sz w:val="21"/>
                <w:szCs w:val="21"/>
                <w:lang w:val="en-US" w:eastAsia="zh-CN"/>
              </w:rPr>
              <w:t>6.</w:t>
            </w:r>
            <w:r>
              <w:rPr>
                <w:rFonts w:hint="eastAsia" w:ascii="宋体" w:hAnsi="宋体" w:eastAsia="宋体" w:cs="宋体"/>
                <w:color w:val="auto"/>
                <w:sz w:val="21"/>
                <w:szCs w:val="21"/>
              </w:rPr>
              <w:t>学生端和教师端支持word形式的报告导出，导出后支持学生的二次编辑，同时支持教学应用指引的查询便于教师开课及学生学习。</w:t>
            </w:r>
          </w:p>
        </w:tc>
        <w:tc>
          <w:tcPr>
            <w:tcW w:w="487" w:type="dxa"/>
            <w:noWrap w:val="0"/>
            <w:vAlign w:val="center"/>
          </w:tcPr>
          <w:p w14:paraId="5A191CEE">
            <w:pPr>
              <w:spacing w:line="360" w:lineRule="auto"/>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1</w:t>
            </w:r>
          </w:p>
        </w:tc>
        <w:tc>
          <w:tcPr>
            <w:tcW w:w="525" w:type="dxa"/>
            <w:noWrap w:val="0"/>
            <w:vAlign w:val="center"/>
          </w:tcPr>
          <w:p w14:paraId="6C08F594">
            <w:pPr>
              <w:spacing w:line="360" w:lineRule="auto"/>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套</w:t>
            </w:r>
          </w:p>
        </w:tc>
        <w:tc>
          <w:tcPr>
            <w:tcW w:w="476" w:type="dxa"/>
            <w:noWrap w:val="0"/>
            <w:vAlign w:val="center"/>
          </w:tcPr>
          <w:p w14:paraId="0C727C78">
            <w:pPr>
              <w:spacing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w:t>
            </w:r>
          </w:p>
        </w:tc>
      </w:tr>
      <w:tr w14:paraId="4EC31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566" w:type="dxa"/>
            <w:noWrap w:val="0"/>
            <w:vAlign w:val="center"/>
          </w:tcPr>
          <w:p w14:paraId="600E2702">
            <w:pPr>
              <w:spacing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w:t>
            </w:r>
          </w:p>
        </w:tc>
        <w:tc>
          <w:tcPr>
            <w:tcW w:w="991" w:type="dxa"/>
            <w:noWrap w:val="0"/>
            <w:vAlign w:val="center"/>
          </w:tcPr>
          <w:p w14:paraId="54FA76CE">
            <w:pPr>
              <w:spacing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电子税务局实训平台</w:t>
            </w:r>
          </w:p>
        </w:tc>
        <w:tc>
          <w:tcPr>
            <w:tcW w:w="5780" w:type="dxa"/>
            <w:noWrap w:val="0"/>
            <w:vAlign w:val="center"/>
          </w:tcPr>
          <w:p w14:paraId="4F735152">
            <w:pPr>
              <w:numPr>
                <w:ilvl w:val="0"/>
                <w:numId w:val="0"/>
              </w:numPr>
              <w:ind w:leftChars="0" w:firstLine="420" w:firstLineChars="200"/>
              <w:rPr>
                <w:rFonts w:hint="eastAsia" w:ascii="宋体" w:hAnsi="宋体" w:eastAsia="宋体" w:cs="宋体"/>
                <w:b/>
                <w:bCs/>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电子税务局实训平台是基于全国统一规范的法人电子税务局和自然人电子税务局，按照核心征管标准进行开发的实训平台，可进行典型行业全税种、全流程的综合申报。</w:t>
            </w:r>
            <w:r>
              <w:rPr>
                <w:rFonts w:hint="eastAsia" w:ascii="宋体" w:hAnsi="宋体" w:eastAsia="宋体" w:cs="宋体"/>
                <w:b/>
                <w:bCs/>
                <w:color w:val="auto"/>
                <w:sz w:val="21"/>
                <w:szCs w:val="21"/>
                <w:highlight w:val="none"/>
                <w:lang w:val="en-US" w:eastAsia="zh-CN"/>
              </w:rPr>
              <w:t>主要包括：</w:t>
            </w:r>
            <w:r>
              <w:rPr>
                <w:rFonts w:hint="eastAsia" w:ascii="宋体" w:hAnsi="宋体" w:eastAsia="宋体" w:cs="宋体"/>
                <w:b/>
                <w:bCs/>
                <w:color w:val="auto"/>
                <w:sz w:val="21"/>
                <w:szCs w:val="21"/>
                <w:highlight w:val="none"/>
              </w:rPr>
              <w:t>全面数字化的电子发票开具、增值税及附加税一般纳税人申报</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增值税及附加税</w:t>
            </w:r>
            <w:r>
              <w:rPr>
                <w:rFonts w:hint="eastAsia" w:ascii="宋体" w:hAnsi="宋体" w:eastAsia="宋体" w:cs="宋体"/>
                <w:b/>
                <w:bCs/>
                <w:color w:val="auto"/>
                <w:sz w:val="21"/>
                <w:szCs w:val="21"/>
                <w:highlight w:val="none"/>
                <w:lang w:val="en-US" w:eastAsia="zh-CN"/>
              </w:rPr>
              <w:t>小规模</w:t>
            </w:r>
            <w:r>
              <w:rPr>
                <w:rFonts w:hint="eastAsia" w:ascii="宋体" w:hAnsi="宋体" w:eastAsia="宋体" w:cs="宋体"/>
                <w:b/>
                <w:bCs/>
                <w:color w:val="auto"/>
                <w:sz w:val="21"/>
                <w:szCs w:val="21"/>
                <w:highlight w:val="none"/>
              </w:rPr>
              <w:t>纳税人申报</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个人所得税申报、查账征收企业所得税月季度申报、查账征收企业所得税汇算清缴</w:t>
            </w:r>
            <w:r>
              <w:rPr>
                <w:rFonts w:hint="eastAsia" w:ascii="宋体" w:hAnsi="宋体" w:eastAsia="宋体" w:cs="宋体"/>
                <w:b/>
                <w:bCs/>
                <w:color w:val="auto"/>
                <w:sz w:val="21"/>
                <w:szCs w:val="21"/>
                <w:highlight w:val="none"/>
                <w:lang w:eastAsia="zh-CN"/>
              </w:rPr>
              <w:t>。</w:t>
            </w:r>
          </w:p>
          <w:p w14:paraId="38FBB386">
            <w:pPr>
              <w:numPr>
                <w:ilvl w:val="0"/>
                <w:numId w:val="0"/>
              </w:numPr>
              <w:ind w:leftChars="0"/>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核心参数：</w:t>
            </w:r>
          </w:p>
          <w:p w14:paraId="13164896">
            <w:pPr>
              <w:numPr>
                <w:ilvl w:val="0"/>
                <w:numId w:val="0"/>
              </w:numPr>
              <w:ind w:leftChars="0"/>
              <w:rPr>
                <w:rFonts w:hint="default" w:ascii="宋体" w:hAnsi="宋体" w:eastAsia="宋体" w:cs="宋体"/>
                <w:b w:val="0"/>
                <w:bCs w:val="0"/>
                <w:color w:val="auto"/>
                <w:sz w:val="21"/>
                <w:szCs w:val="21"/>
                <w:highlight w:val="none"/>
                <w:lang w:val="en-US"/>
              </w:rPr>
            </w:pPr>
            <w:r>
              <w:rPr>
                <w:rFonts w:hint="eastAsia" w:ascii="宋体" w:hAnsi="宋体" w:eastAsia="宋体" w:cs="宋体"/>
                <w:b w:val="0"/>
                <w:bCs w:val="0"/>
                <w:color w:val="auto"/>
                <w:sz w:val="21"/>
                <w:szCs w:val="21"/>
                <w:highlight w:val="none"/>
                <w:lang w:val="en-US" w:eastAsia="zh-CN"/>
              </w:rPr>
              <w:t>1.系统分为教师端和学生端，教师端具有班级管理、学生管理、案例管理、成绩管理和竞赛管理功能；</w:t>
            </w:r>
            <w:r>
              <w:rPr>
                <w:rFonts w:hint="eastAsia" w:ascii="宋体" w:hAnsi="宋体" w:cs="宋体"/>
                <w:b w:val="0"/>
                <w:bCs w:val="0"/>
                <w:color w:val="auto"/>
                <w:sz w:val="21"/>
                <w:szCs w:val="21"/>
                <w:highlight w:val="none"/>
                <w:lang w:val="en-US" w:eastAsia="zh-CN"/>
              </w:rPr>
              <w:t>支持原有实训平台的基础数据、实训业务数据双向同步；</w:t>
            </w:r>
          </w:p>
          <w:p w14:paraId="4662F3D2">
            <w:pPr>
              <w:numPr>
                <w:ilvl w:val="0"/>
                <w:numId w:val="0"/>
              </w:num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2.教师端支持单项案例和综合案例发布，能够看到具体案例的名称、涉及税种、难易程度、评分指标、答案、实训案例信息，可以选择需要实训的子系统并将案例批量发布给不同的班级，也可以将多个案例同时发布给一个班级，针对具体案例可以关闭和开启；</w:t>
            </w:r>
          </w:p>
          <w:p w14:paraId="5688F701">
            <w:pPr>
              <w:numPr>
                <w:ilvl w:val="0"/>
                <w:numId w:val="0"/>
              </w:numPr>
              <w:ind w:leftChars="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3.</w:t>
            </w:r>
            <w:r>
              <w:rPr>
                <w:rFonts w:hint="eastAsia" w:ascii="宋体" w:hAnsi="宋体" w:eastAsia="宋体" w:cs="宋体"/>
                <w:color w:val="auto"/>
                <w:sz w:val="21"/>
                <w:szCs w:val="21"/>
              </w:rPr>
              <w:t>★</w:t>
            </w:r>
            <w:r>
              <w:rPr>
                <w:rFonts w:hint="eastAsia" w:ascii="宋体" w:hAnsi="宋体" w:eastAsia="宋体" w:cs="宋体"/>
                <w:b w:val="0"/>
                <w:bCs w:val="0"/>
                <w:color w:val="auto"/>
                <w:sz w:val="21"/>
                <w:szCs w:val="21"/>
                <w:highlight w:val="none"/>
                <w:lang w:val="en-US" w:eastAsia="zh-CN"/>
              </w:rPr>
              <w:t>教师端竞赛管理功能支持查看已发布的竞赛详情，对未开始的竞赛可进行修改，能关闭未开始、进行中、已结束的竞赛。能够新增竞赛，进行竞赛名称、竞赛范围、竞赛案例、竞赛起止时间和竞赛方式设置；</w:t>
            </w: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投标文件中提供证明材料</w:t>
            </w:r>
            <w:r>
              <w:rPr>
                <w:rFonts w:hint="eastAsia" w:ascii="宋体" w:hAnsi="宋体" w:eastAsia="宋体" w:cs="宋体"/>
                <w:b/>
                <w:bCs/>
                <w:color w:val="auto"/>
                <w:sz w:val="21"/>
                <w:szCs w:val="21"/>
                <w:highlight w:val="none"/>
              </w:rPr>
              <w:t>）</w:t>
            </w:r>
          </w:p>
          <w:p w14:paraId="28095716">
            <w:pPr>
              <w:numPr>
                <w:ilvl w:val="0"/>
                <w:numId w:val="0"/>
              </w:numPr>
              <w:ind w:leftChars="0"/>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4.教师端竞赛排行榜分为总榜单和单项榜单，总榜单可以查看名次、选手姓名、单位名称、模块名称、类型、提交时间、分数、总分，单项榜单可根据竞赛配置的模块，显示每个模块的成绩排行，可根据竞赛需求，进行选手姓名和单位的隐藏和显示，竞赛结束后可以导出具体榜单的成绩，可查询每名选手的成绩和每个竞赛模块的评分详情。</w:t>
            </w:r>
          </w:p>
          <w:p w14:paraId="1756766F">
            <w:pPr>
              <w:numPr>
                <w:ilvl w:val="0"/>
                <w:numId w:val="0"/>
              </w:numPr>
              <w:ind w:leftChars="0"/>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5.学生端可以根据案例进行相应的实训操作，</w:t>
            </w:r>
            <w:r>
              <w:rPr>
                <w:rFonts w:hint="eastAsia" w:ascii="宋体" w:hAnsi="宋体" w:eastAsia="宋体" w:cs="宋体"/>
                <w:b w:val="0"/>
                <w:bCs w:val="0"/>
                <w:color w:val="auto"/>
                <w:sz w:val="21"/>
                <w:szCs w:val="21"/>
                <w:highlight w:val="none"/>
              </w:rPr>
              <w:t>包括全面数字化的电子发票开具、增值税及附加税一般纳税人申报、增值税及附加税</w:t>
            </w:r>
            <w:r>
              <w:rPr>
                <w:rFonts w:hint="eastAsia" w:ascii="宋体" w:hAnsi="宋体" w:eastAsia="宋体" w:cs="宋体"/>
                <w:b w:val="0"/>
                <w:bCs w:val="0"/>
                <w:color w:val="auto"/>
                <w:sz w:val="21"/>
                <w:szCs w:val="21"/>
                <w:highlight w:val="none"/>
                <w:lang w:val="en-US" w:eastAsia="zh-CN"/>
              </w:rPr>
              <w:t>小规模</w:t>
            </w:r>
            <w:r>
              <w:rPr>
                <w:rFonts w:hint="eastAsia" w:ascii="宋体" w:hAnsi="宋体" w:eastAsia="宋体" w:cs="宋体"/>
                <w:b w:val="0"/>
                <w:bCs w:val="0"/>
                <w:color w:val="auto"/>
                <w:sz w:val="21"/>
                <w:szCs w:val="21"/>
                <w:highlight w:val="none"/>
              </w:rPr>
              <w:t>纳税人申报</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rPr>
              <w:t>个人所得税申报、查账征收企业所得税月季度申报、查账征收企业所得税汇算清缴等</w:t>
            </w:r>
            <w:r>
              <w:rPr>
                <w:rFonts w:hint="eastAsia" w:ascii="宋体" w:hAnsi="宋体" w:eastAsia="宋体" w:cs="宋体"/>
                <w:b w:val="0"/>
                <w:bCs w:val="0"/>
                <w:color w:val="auto"/>
                <w:sz w:val="21"/>
                <w:szCs w:val="21"/>
                <w:highlight w:val="none"/>
                <w:lang w:val="en-US" w:eastAsia="zh-CN"/>
              </w:rPr>
              <w:t>；</w:t>
            </w:r>
          </w:p>
          <w:p w14:paraId="0D0A6A6C">
            <w:pPr>
              <w:numPr>
                <w:ilvl w:val="0"/>
                <w:numId w:val="0"/>
              </w:numPr>
              <w:ind w:leftChars="0"/>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6.</w:t>
            </w:r>
            <w:r>
              <w:rPr>
                <w:rFonts w:hint="eastAsia" w:ascii="宋体" w:hAnsi="宋体" w:eastAsia="宋体" w:cs="宋体"/>
                <w:b w:val="0"/>
                <w:bCs w:val="0"/>
                <w:color w:val="auto"/>
                <w:sz w:val="21"/>
                <w:szCs w:val="21"/>
                <w:highlight w:val="none"/>
              </w:rPr>
              <w:t>学生端应能查看已发布的案例信息（如企业名称、税款所属期、发布时间等），支持进行案例实训、系统自动评分以及清除重做等实训操作</w:t>
            </w:r>
            <w:r>
              <w:rPr>
                <w:rFonts w:hint="eastAsia" w:ascii="宋体" w:hAnsi="宋体" w:eastAsia="宋体" w:cs="宋体"/>
                <w:b w:val="0"/>
                <w:bCs w:val="0"/>
                <w:color w:val="auto"/>
                <w:sz w:val="21"/>
                <w:szCs w:val="21"/>
                <w:highlight w:val="none"/>
                <w:lang w:val="en-US" w:eastAsia="zh-CN"/>
              </w:rPr>
              <w:t>；</w:t>
            </w:r>
          </w:p>
          <w:p w14:paraId="453C46FD">
            <w:pPr>
              <w:numPr>
                <w:ilvl w:val="0"/>
                <w:numId w:val="0"/>
              </w:numPr>
              <w:ind w:leftChars="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7.</w:t>
            </w:r>
            <w:r>
              <w:rPr>
                <w:rFonts w:hint="eastAsia" w:ascii="宋体" w:hAnsi="宋体" w:eastAsia="宋体" w:cs="宋体"/>
                <w:color w:val="auto"/>
                <w:sz w:val="21"/>
                <w:szCs w:val="21"/>
              </w:rPr>
              <w:t>★</w:t>
            </w:r>
            <w:r>
              <w:rPr>
                <w:rFonts w:hint="eastAsia" w:ascii="宋体" w:hAnsi="宋体" w:eastAsia="宋体" w:cs="宋体"/>
                <w:b w:val="0"/>
                <w:bCs w:val="0"/>
                <w:color w:val="auto"/>
                <w:sz w:val="21"/>
                <w:szCs w:val="21"/>
                <w:highlight w:val="none"/>
                <w:lang w:val="en-US" w:eastAsia="zh-CN"/>
              </w:rPr>
              <w:t>学生端进入案例，有首页、我要办税、我要查询、互动中心、我的代办等功能，能够查看实训企业名称、税号、纳税信用等级、本期应申报等事项；</w:t>
            </w: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投标文件中提供证明材料</w:t>
            </w:r>
            <w:r>
              <w:rPr>
                <w:rFonts w:hint="eastAsia" w:ascii="宋体" w:hAnsi="宋体" w:eastAsia="宋体" w:cs="宋体"/>
                <w:b/>
                <w:bCs/>
                <w:color w:val="auto"/>
                <w:sz w:val="21"/>
                <w:szCs w:val="21"/>
                <w:highlight w:val="none"/>
              </w:rPr>
              <w:t>）</w:t>
            </w:r>
          </w:p>
          <w:p w14:paraId="11EBAE3C">
            <w:pPr>
              <w:numPr>
                <w:ilvl w:val="0"/>
                <w:numId w:val="0"/>
              </w:numPr>
              <w:ind w:leftChars="0"/>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8.在“我的代办”可以看到该企业本期应申报的税种事项，包括事项名称、办理期限、标签状态，能够直接进入到相应税务申报界面，申报状态可以根据申报阶段进行联动；</w:t>
            </w:r>
          </w:p>
          <w:p w14:paraId="4F77472B">
            <w:pPr>
              <w:numPr>
                <w:ilvl w:val="0"/>
                <w:numId w:val="0"/>
              </w:numPr>
              <w:ind w:leftChars="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9.学生端在我的竞赛功能可以查看进行中、未开始、已结束的竞赛活动，能够了解具体竞赛名称、主办单位、竞赛时间，每个模块的分值，系统会自动提交评分，竞赛结束后可以查看竞赛总得分及每个模块的得分；</w:t>
            </w:r>
          </w:p>
          <w:p w14:paraId="798A6D95">
            <w:pPr>
              <w:numPr>
                <w:ilvl w:val="0"/>
                <w:numId w:val="0"/>
              </w:numPr>
              <w:ind w:leftChars="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10.</w:t>
            </w:r>
            <w:r>
              <w:rPr>
                <w:rFonts w:hint="eastAsia" w:ascii="宋体" w:hAnsi="宋体" w:eastAsia="宋体" w:cs="宋体"/>
                <w:color w:val="auto"/>
                <w:sz w:val="21"/>
                <w:szCs w:val="21"/>
              </w:rPr>
              <w:t>★</w:t>
            </w:r>
            <w:r>
              <w:rPr>
                <w:rFonts w:hint="eastAsia" w:ascii="宋体" w:hAnsi="宋体" w:eastAsia="宋体" w:cs="宋体"/>
                <w:b w:val="0"/>
                <w:bCs w:val="0"/>
                <w:color w:val="auto"/>
                <w:sz w:val="21"/>
                <w:szCs w:val="21"/>
                <w:highlight w:val="none"/>
                <w:lang w:val="en-US" w:eastAsia="zh-CN"/>
              </w:rPr>
              <w:t>学生端我的成绩支持针对具体案例查看得分、实习报告、申报详情。同时避免学生作答过程的全选满分情况，系统支持自动根据错选项目进行倒扣分，在成绩查询中可直观展示倒扣分信息；</w:t>
            </w: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投标文件中提供证明材料</w:t>
            </w:r>
            <w:r>
              <w:rPr>
                <w:rFonts w:hint="eastAsia" w:ascii="宋体" w:hAnsi="宋体" w:eastAsia="宋体" w:cs="宋体"/>
                <w:b/>
                <w:bCs/>
                <w:color w:val="auto"/>
                <w:sz w:val="21"/>
                <w:szCs w:val="21"/>
                <w:highlight w:val="none"/>
              </w:rPr>
              <w:t>）</w:t>
            </w:r>
          </w:p>
          <w:p w14:paraId="2FB2C194">
            <w:pPr>
              <w:rPr>
                <w:rFonts w:hint="eastAsia" w:ascii="宋体" w:hAnsi="宋体" w:eastAsia="宋体" w:cs="宋体"/>
                <w:color w:val="auto"/>
                <w:sz w:val="21"/>
                <w:szCs w:val="21"/>
              </w:rPr>
            </w:pPr>
            <w:r>
              <w:rPr>
                <w:rFonts w:hint="eastAsia" w:ascii="宋体" w:hAnsi="宋体" w:eastAsia="宋体" w:cs="宋体"/>
                <w:b w:val="0"/>
                <w:bCs w:val="0"/>
                <w:color w:val="auto"/>
                <w:sz w:val="21"/>
                <w:szCs w:val="21"/>
                <w:highlight w:val="none"/>
                <w:lang w:val="en-US" w:eastAsia="zh-CN"/>
              </w:rPr>
              <w:t>11.学生端实习报告能够查看具体公司申报税（费）种、税额、实习时间、学校名称、指导老师、学生班级、学生姓名、学生学号、实训成绩信息。</w:t>
            </w:r>
          </w:p>
        </w:tc>
        <w:tc>
          <w:tcPr>
            <w:tcW w:w="487" w:type="dxa"/>
            <w:noWrap w:val="0"/>
            <w:vAlign w:val="center"/>
          </w:tcPr>
          <w:p w14:paraId="1850A31B">
            <w:pPr>
              <w:spacing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525" w:type="dxa"/>
            <w:noWrap w:val="0"/>
            <w:vAlign w:val="center"/>
          </w:tcPr>
          <w:p w14:paraId="187EFF92">
            <w:pPr>
              <w:spacing w:line="360" w:lineRule="auto"/>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套</w:t>
            </w:r>
          </w:p>
        </w:tc>
        <w:tc>
          <w:tcPr>
            <w:tcW w:w="476" w:type="dxa"/>
            <w:noWrap w:val="0"/>
            <w:vAlign w:val="center"/>
          </w:tcPr>
          <w:p w14:paraId="0A54FB72">
            <w:pPr>
              <w:spacing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w:t>
            </w:r>
          </w:p>
        </w:tc>
      </w:tr>
    </w:tbl>
    <w:p w14:paraId="6D8E6E24">
      <w:pPr>
        <w:pStyle w:val="6"/>
        <w:spacing w:line="360" w:lineRule="auto"/>
        <w:ind w:firstLine="420" w:firstLineChars="200"/>
        <w:rPr>
          <w:rFonts w:hint="default" w:ascii="新宋体" w:hAnsi="新宋体" w:eastAsia="新宋体" w:cs="新宋体"/>
          <w:color w:val="auto"/>
          <w:sz w:val="21"/>
          <w:szCs w:val="21"/>
          <w:lang w:val="en-US" w:eastAsia="zh-CN"/>
        </w:rPr>
      </w:pPr>
    </w:p>
    <w:p w14:paraId="7C6C282D">
      <w:pPr>
        <w:pStyle w:val="6"/>
        <w:spacing w:line="360" w:lineRule="auto"/>
        <w:ind w:firstLine="420" w:firstLineChars="200"/>
        <w:rPr>
          <w:rFonts w:hint="eastAsia" w:ascii="宋体" w:eastAsia="宋体"/>
          <w:color w:val="auto"/>
          <w:lang w:val="zh-TW" w:eastAsia="zh-CN"/>
        </w:rPr>
      </w:pPr>
      <w:r>
        <w:rPr>
          <w:rFonts w:hint="eastAsia" w:ascii="新宋体" w:hAnsi="新宋体" w:eastAsia="新宋体" w:cs="新宋体"/>
          <w:color w:val="auto"/>
          <w:sz w:val="21"/>
          <w:szCs w:val="21"/>
          <w:lang w:val="en-US" w:eastAsia="zh-CN"/>
        </w:rPr>
        <w:t>3.</w:t>
      </w:r>
      <w:r>
        <w:rPr>
          <w:rFonts w:hint="eastAsia" w:ascii="新宋体" w:hAnsi="新宋体" w:eastAsia="新宋体" w:cs="新宋体"/>
          <w:color w:val="auto"/>
          <w:sz w:val="21"/>
          <w:szCs w:val="21"/>
          <w:lang w:val="zh-TW" w:eastAsia="zh-TW"/>
        </w:rPr>
        <w:t>维护</w:t>
      </w:r>
      <w:r>
        <w:rPr>
          <w:rFonts w:hint="eastAsia" w:ascii="新宋体" w:hAnsi="新宋体" w:eastAsia="新宋体" w:cs="新宋体"/>
          <w:color w:val="auto"/>
          <w:sz w:val="21"/>
          <w:szCs w:val="21"/>
          <w:lang w:val="en-US" w:eastAsia="zh-CN"/>
        </w:rPr>
        <w:t>升级</w:t>
      </w:r>
    </w:p>
    <w:p w14:paraId="76BE67FF">
      <w:pPr>
        <w:pStyle w:val="6"/>
        <w:spacing w:line="360" w:lineRule="auto"/>
        <w:ind w:firstLine="440" w:firstLineChars="200"/>
        <w:rPr>
          <w:color w:val="auto"/>
          <w:sz w:val="28"/>
          <w:szCs w:val="28"/>
          <w:lang w:eastAsia="zh-CN"/>
        </w:rPr>
      </w:pPr>
      <w:r>
        <w:rPr>
          <w:rFonts w:hint="eastAsia" w:ascii="宋体" w:hAnsi="宋体" w:eastAsia="宋体" w:cs="宋体"/>
          <w:color w:val="auto"/>
          <w:szCs w:val="21"/>
        </w:rPr>
        <w:t>免费维保期</w:t>
      </w:r>
      <w:r>
        <w:rPr>
          <w:rFonts w:hint="eastAsia" w:ascii="宋体" w:hAnsi="宋体" w:eastAsia="宋体" w:cs="宋体"/>
          <w:color w:val="auto"/>
          <w:szCs w:val="21"/>
          <w:lang w:eastAsia="zh-CN"/>
        </w:rPr>
        <w:t>：</w:t>
      </w:r>
      <w:r>
        <w:rPr>
          <w:rFonts w:hint="eastAsia" w:ascii="宋体" w:hAnsi="宋体" w:eastAsia="宋体" w:cs="宋体"/>
          <w:color w:val="auto"/>
          <w:szCs w:val="21"/>
        </w:rPr>
        <w:t>自验收合格之日起，提供软件维保期</w:t>
      </w:r>
      <w:r>
        <w:rPr>
          <w:rFonts w:hint="eastAsia" w:ascii="宋体" w:hAnsi="宋体" w:eastAsia="宋体" w:cs="宋体"/>
          <w:color w:val="auto"/>
          <w:szCs w:val="21"/>
          <w:lang w:val="en-US" w:eastAsia="zh-CN"/>
        </w:rPr>
        <w:t>5</w:t>
      </w:r>
      <w:r>
        <w:rPr>
          <w:rFonts w:hint="eastAsia" w:ascii="宋体" w:hAnsi="宋体" w:eastAsia="宋体" w:cs="宋体"/>
          <w:color w:val="auto"/>
          <w:szCs w:val="21"/>
        </w:rPr>
        <w:t>年，维保期内免费提供维护和升级服务。</w:t>
      </w:r>
    </w:p>
    <w:p w14:paraId="54154245">
      <w:pPr>
        <w:pStyle w:val="6"/>
        <w:spacing w:line="360" w:lineRule="auto"/>
        <w:ind w:firstLine="420" w:firstLineChars="200"/>
        <w:rPr>
          <w:rFonts w:ascii="宋体"/>
          <w:color w:val="auto"/>
          <w:lang w:val="zh-TW" w:eastAsia="zh-TW"/>
        </w:rPr>
      </w:pPr>
      <w:r>
        <w:rPr>
          <w:rFonts w:hint="eastAsia" w:ascii="新宋体" w:hAnsi="新宋体" w:eastAsia="新宋体" w:cs="新宋体"/>
          <w:color w:val="auto"/>
          <w:sz w:val="21"/>
          <w:szCs w:val="21"/>
          <w:lang w:val="en-US" w:eastAsia="zh-CN"/>
        </w:rPr>
        <w:t>4</w:t>
      </w:r>
      <w:r>
        <w:rPr>
          <w:rFonts w:hint="eastAsia" w:ascii="新宋体" w:hAnsi="新宋体" w:eastAsia="新宋体" w:cs="新宋体"/>
          <w:color w:val="auto"/>
          <w:sz w:val="21"/>
          <w:szCs w:val="21"/>
          <w:lang w:val="zh-TW" w:eastAsia="zh-TW"/>
        </w:rPr>
        <w:t>.售后服务</w:t>
      </w:r>
    </w:p>
    <w:p w14:paraId="2F080D2D">
      <w:pPr>
        <w:pStyle w:val="6"/>
        <w:spacing w:line="360" w:lineRule="auto"/>
        <w:ind w:firstLine="440" w:firstLineChars="200"/>
        <w:rPr>
          <w:rFonts w:ascii="宋体"/>
          <w:color w:val="auto"/>
          <w:sz w:val="28"/>
          <w:szCs w:val="28"/>
          <w:lang w:eastAsia="zh-CN"/>
        </w:rPr>
      </w:pPr>
      <w:r>
        <w:rPr>
          <w:rFonts w:hint="eastAsia" w:ascii="宋体" w:hAnsi="宋体" w:eastAsia="宋体" w:cs="宋体"/>
          <w:color w:val="auto"/>
          <w:szCs w:val="21"/>
        </w:rPr>
        <w:t>有专业售后技术支持队伍，在5*8小时内，工作时间可以直接通过电话获取支持服务，其他时间可以直接与售后技术人员取得联系获取服务。软件发生故障，在 8 小时内响应，24 小时内修复，如电话邮件等无法解决的问题，条件允许下将在 72 小时内指派技术人员到达现场进行解决，每年不少于一次免费巡检、案例更新升级。</w:t>
      </w:r>
    </w:p>
    <w:p w14:paraId="2EDCE997">
      <w:pPr>
        <w:pStyle w:val="6"/>
        <w:spacing w:line="360" w:lineRule="auto"/>
        <w:ind w:firstLine="420" w:firstLineChars="200"/>
        <w:rPr>
          <w:rFonts w:ascii="宋体"/>
          <w:color w:val="auto"/>
          <w:lang w:val="zh-TW" w:eastAsia="zh-TW"/>
        </w:rPr>
      </w:pPr>
      <w:r>
        <w:rPr>
          <w:rFonts w:hint="eastAsia" w:ascii="新宋体" w:hAnsi="新宋体" w:eastAsia="新宋体" w:cs="新宋体"/>
          <w:color w:val="auto"/>
          <w:sz w:val="21"/>
          <w:szCs w:val="21"/>
          <w:lang w:val="en-US" w:eastAsia="zh-CN"/>
        </w:rPr>
        <w:t>5</w:t>
      </w:r>
      <w:r>
        <w:rPr>
          <w:rFonts w:hint="eastAsia" w:ascii="新宋体" w:hAnsi="新宋体" w:eastAsia="新宋体" w:cs="新宋体"/>
          <w:color w:val="auto"/>
          <w:sz w:val="21"/>
          <w:szCs w:val="21"/>
          <w:lang w:val="zh-TW" w:eastAsia="zh-TW"/>
        </w:rPr>
        <w:t>.</w:t>
      </w:r>
      <w:r>
        <w:rPr>
          <w:rFonts w:hint="eastAsia" w:ascii="新宋体" w:hAnsi="新宋体" w:eastAsia="新宋体" w:cs="新宋体"/>
          <w:color w:val="auto"/>
          <w:sz w:val="21"/>
          <w:szCs w:val="21"/>
          <w:lang w:val="en-US" w:eastAsia="zh-CN"/>
        </w:rPr>
        <w:t>资质要求</w:t>
      </w:r>
    </w:p>
    <w:p w14:paraId="0742A69E">
      <w:pPr>
        <w:pStyle w:val="6"/>
        <w:spacing w:line="360" w:lineRule="auto"/>
        <w:ind w:firstLine="440" w:firstLineChars="200"/>
        <w:rPr>
          <w:rFonts w:hint="eastAsia" w:ascii="宋体" w:hAnsi="宋体" w:eastAsia="宋体" w:cs="宋体"/>
          <w:color w:val="auto"/>
          <w:szCs w:val="21"/>
        </w:rPr>
      </w:pPr>
      <w:r>
        <w:rPr>
          <w:rFonts w:hint="eastAsia" w:ascii="宋体" w:hAnsi="宋体" w:eastAsia="宋体" w:cs="宋体"/>
          <w:color w:val="auto"/>
          <w:szCs w:val="21"/>
          <w:lang w:eastAsia="zh-CN"/>
        </w:rPr>
        <w:t>（</w:t>
      </w:r>
      <w:r>
        <w:rPr>
          <w:rFonts w:hint="eastAsia" w:ascii="宋体" w:hAnsi="宋体" w:eastAsia="宋体" w:cs="宋体"/>
          <w:color w:val="auto"/>
          <w:szCs w:val="21"/>
          <w:lang w:val="en-US" w:eastAsia="zh-CN"/>
        </w:rPr>
        <w:t>1</w:t>
      </w:r>
      <w:r>
        <w:rPr>
          <w:rFonts w:hint="eastAsia" w:ascii="宋体" w:hAnsi="宋体" w:eastAsia="宋体" w:cs="宋体"/>
          <w:color w:val="auto"/>
          <w:szCs w:val="21"/>
          <w:lang w:eastAsia="zh-CN"/>
        </w:rPr>
        <w:t>）</w:t>
      </w:r>
      <w:r>
        <w:rPr>
          <w:rFonts w:hint="eastAsia" w:ascii="宋体" w:hAnsi="宋体" w:eastAsia="宋体" w:cs="宋体"/>
          <w:color w:val="auto"/>
          <w:szCs w:val="21"/>
        </w:rPr>
        <w:t>符合《中华人民共和国政府采购法》第二十二条规定；</w:t>
      </w:r>
    </w:p>
    <w:p w14:paraId="097D6D04">
      <w:pPr>
        <w:pStyle w:val="6"/>
        <w:spacing w:line="360" w:lineRule="auto"/>
        <w:ind w:firstLine="440" w:firstLineChars="200"/>
        <w:rPr>
          <w:rFonts w:hint="eastAsia" w:ascii="宋体" w:hAnsi="宋体" w:eastAsia="宋体" w:cs="宋体"/>
          <w:color w:val="auto"/>
          <w:szCs w:val="21"/>
        </w:rPr>
      </w:pPr>
      <w:r>
        <w:rPr>
          <w:rFonts w:hint="eastAsia" w:ascii="宋体" w:hAnsi="宋体" w:eastAsia="宋体" w:cs="宋体"/>
          <w:color w:val="auto"/>
          <w:szCs w:val="21"/>
          <w:lang w:eastAsia="zh-CN"/>
        </w:rPr>
        <w:t>（</w:t>
      </w:r>
      <w:r>
        <w:rPr>
          <w:rFonts w:hint="eastAsia" w:ascii="宋体" w:hAnsi="宋体" w:eastAsia="宋体" w:cs="宋体"/>
          <w:color w:val="auto"/>
          <w:szCs w:val="21"/>
          <w:lang w:val="en-US" w:eastAsia="zh-CN"/>
        </w:rPr>
        <w:t>2</w:t>
      </w:r>
      <w:r>
        <w:rPr>
          <w:rFonts w:hint="eastAsia" w:ascii="宋体" w:hAnsi="宋体" w:eastAsia="宋体" w:cs="宋体"/>
          <w:color w:val="auto"/>
          <w:szCs w:val="21"/>
          <w:lang w:eastAsia="zh-CN"/>
        </w:rPr>
        <w:t>）</w:t>
      </w:r>
      <w:r>
        <w:rPr>
          <w:rFonts w:hint="eastAsia" w:ascii="宋体" w:hAnsi="宋体" w:eastAsia="宋体" w:cs="宋体"/>
          <w:color w:val="auto"/>
          <w:szCs w:val="21"/>
        </w:rPr>
        <w:t>供应商须具有独立承担民事责任的能力；</w:t>
      </w:r>
    </w:p>
    <w:p w14:paraId="0E84C46B">
      <w:pPr>
        <w:pStyle w:val="6"/>
        <w:spacing w:line="360" w:lineRule="auto"/>
        <w:ind w:firstLine="440" w:firstLineChars="200"/>
        <w:rPr>
          <w:rFonts w:hint="eastAsia" w:ascii="宋体" w:hAnsi="宋体" w:eastAsia="宋体" w:cs="宋体"/>
          <w:color w:val="auto"/>
          <w:szCs w:val="21"/>
          <w:lang w:val="en-US" w:eastAsia="zh-CN"/>
        </w:rPr>
      </w:pPr>
      <w:r>
        <w:rPr>
          <w:rFonts w:hint="eastAsia" w:ascii="宋体" w:hAnsi="宋体" w:eastAsia="宋体" w:cs="宋体"/>
          <w:color w:val="auto"/>
          <w:szCs w:val="21"/>
          <w:lang w:eastAsia="zh-CN"/>
        </w:rPr>
        <w:t>（</w:t>
      </w:r>
      <w:r>
        <w:rPr>
          <w:rFonts w:hint="eastAsia" w:ascii="宋体" w:hAnsi="宋体" w:eastAsia="宋体" w:cs="宋体"/>
          <w:color w:val="auto"/>
          <w:szCs w:val="21"/>
          <w:lang w:val="en-US" w:eastAsia="zh-CN"/>
        </w:rPr>
        <w:t>3</w:t>
      </w:r>
      <w:r>
        <w:rPr>
          <w:rFonts w:hint="eastAsia" w:ascii="宋体" w:hAnsi="宋体" w:eastAsia="宋体" w:cs="宋体"/>
          <w:color w:val="auto"/>
          <w:szCs w:val="21"/>
          <w:lang w:eastAsia="zh-CN"/>
        </w:rPr>
        <w:t>）</w:t>
      </w:r>
      <w:r>
        <w:rPr>
          <w:rFonts w:hint="eastAsia" w:ascii="宋体" w:hAnsi="宋体" w:eastAsia="宋体" w:cs="宋体"/>
          <w:color w:val="auto"/>
          <w:szCs w:val="21"/>
        </w:rPr>
        <w:t>报价人所报产品须符合本条件所列两种条件之一：为所报价产品的最终制造厂家</w:t>
      </w:r>
      <w:r>
        <w:rPr>
          <w:rFonts w:hint="eastAsia" w:ascii="宋体" w:hAnsi="宋体" w:cs="宋体"/>
          <w:color w:val="auto"/>
          <w:szCs w:val="21"/>
          <w:lang w:eastAsia="zh-CN"/>
        </w:rPr>
        <w:t>，</w:t>
      </w:r>
      <w:r>
        <w:rPr>
          <w:rFonts w:hint="eastAsia" w:ascii="宋体" w:hAnsi="宋体" w:eastAsia="宋体" w:cs="宋体"/>
          <w:color w:val="auto"/>
          <w:szCs w:val="21"/>
        </w:rPr>
        <w:t>或为具备由最终制造厂家针对本项目书面授权的报价人</w:t>
      </w:r>
      <w:r>
        <w:rPr>
          <w:rFonts w:hint="eastAsia" w:ascii="宋体" w:hAnsi="宋体" w:cs="宋体"/>
          <w:color w:val="auto"/>
          <w:szCs w:val="21"/>
          <w:lang w:eastAsia="zh-CN"/>
        </w:rPr>
        <w:t>；</w:t>
      </w:r>
      <w:bookmarkStart w:id="1" w:name="_GoBack"/>
      <w:bookmarkEnd w:id="1"/>
    </w:p>
    <w:p w14:paraId="0C3BBCA0">
      <w:pPr>
        <w:pStyle w:val="6"/>
        <w:spacing w:line="360" w:lineRule="auto"/>
        <w:ind w:firstLine="440" w:firstLineChars="200"/>
        <w:rPr>
          <w:rFonts w:hint="eastAsia" w:ascii="宋体" w:hAnsi="宋体" w:eastAsia="宋体" w:cs="宋体"/>
          <w:color w:val="auto"/>
          <w:szCs w:val="21"/>
        </w:rPr>
      </w:pPr>
      <w:r>
        <w:rPr>
          <w:rFonts w:hint="eastAsia" w:ascii="宋体" w:hAnsi="宋体" w:eastAsia="宋体" w:cs="宋体"/>
          <w:color w:val="auto"/>
          <w:szCs w:val="21"/>
          <w:lang w:eastAsia="zh-CN"/>
        </w:rPr>
        <w:t>（</w:t>
      </w:r>
      <w:r>
        <w:rPr>
          <w:rFonts w:hint="eastAsia" w:ascii="宋体" w:hAnsi="宋体" w:eastAsia="宋体" w:cs="宋体"/>
          <w:color w:val="auto"/>
          <w:szCs w:val="21"/>
          <w:lang w:val="en-US" w:eastAsia="zh-CN"/>
        </w:rPr>
        <w:t>4</w:t>
      </w:r>
      <w:r>
        <w:rPr>
          <w:rFonts w:hint="eastAsia" w:ascii="宋体" w:hAnsi="宋体" w:eastAsia="宋体" w:cs="宋体"/>
          <w:color w:val="auto"/>
          <w:szCs w:val="21"/>
          <w:lang w:eastAsia="zh-CN"/>
        </w:rPr>
        <w:t>）</w:t>
      </w:r>
      <w:r>
        <w:rPr>
          <w:rFonts w:hint="eastAsia" w:ascii="宋体" w:hAnsi="宋体" w:eastAsia="宋体" w:cs="宋体"/>
          <w:color w:val="auto"/>
          <w:szCs w:val="21"/>
        </w:rPr>
        <w:t>能提供良好的技术支持和售后服务。</w:t>
      </w:r>
    </w:p>
    <w:p w14:paraId="27CBC940">
      <w:pPr>
        <w:pStyle w:val="6"/>
        <w:spacing w:line="360" w:lineRule="auto"/>
        <w:ind w:firstLine="440" w:firstLineChars="200"/>
        <w:rPr>
          <w:rFonts w:hint="eastAsia" w:ascii="宋体" w:hAnsi="宋体" w:eastAsia="宋体" w:cs="宋体"/>
          <w:color w:val="000000"/>
          <w:szCs w:val="21"/>
          <w:lang w:val="en-US" w:eastAsia="zh-CN"/>
        </w:rPr>
      </w:pPr>
    </w:p>
    <w:p w14:paraId="5999A1DE"/>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C477BD27-2971-4808-9490-428D53E86F8C}"/>
  </w:font>
  <w:font w:name="Helvetica">
    <w:altName w:val="Arial"/>
    <w:panose1 w:val="020B0504020202020204"/>
    <w:charset w:val="00"/>
    <w:family w:val="swiss"/>
    <w:pitch w:val="default"/>
    <w:sig w:usb0="00000000" w:usb1="00000000" w:usb2="00000009" w:usb3="00000000" w:csb0="000001FF" w:csb1="00000000"/>
  </w:font>
  <w:font w:name="Arial Unicode MS">
    <w:altName w:val="宋体"/>
    <w:panose1 w:val="020B0604020202020204"/>
    <w:charset w:val="86"/>
    <w:family w:val="roman"/>
    <w:pitch w:val="default"/>
    <w:sig w:usb0="00000000" w:usb1="00000000" w:usb2="0000003F" w:usb3="00000000" w:csb0="603F01FF" w:csb1="FFFF0000"/>
  </w:font>
  <w:font w:name="新宋体">
    <w:panose1 w:val="02010609030101010101"/>
    <w:charset w:val="86"/>
    <w:family w:val="auto"/>
    <w:pitch w:val="default"/>
    <w:sig w:usb0="00000203" w:usb1="288F0000" w:usb2="00000006" w:usb3="00000000" w:csb0="00040001" w:csb1="00000000"/>
    <w:embedRegular r:id="rId2" w:fontKey="{928AA8A2-2797-4590-BBD7-EE6F6D1D442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680645">
    <w:pPr>
      <w:pStyle w:val="2"/>
    </w:pPr>
    <w:r>
      <w:rPr>
        <w:lang w:val="zh-CN"/>
      </w:rPr>
      <w:t xml:space="preserve"> </w:t>
    </w:r>
    <w:r>
      <w:rPr>
        <w:b/>
        <w:bCs/>
      </w:rPr>
      <w:fldChar w:fldCharType="begin"/>
    </w:r>
    <w:r>
      <w:rPr>
        <w:b/>
        <w:bCs/>
      </w:rPr>
      <w:instrText xml:space="preserve">PAGE</w:instrText>
    </w:r>
    <w:r>
      <w:rPr>
        <w:b/>
        <w:bCs/>
      </w:rPr>
      <w:fldChar w:fldCharType="separate"/>
    </w:r>
    <w:r>
      <w:rPr>
        <w:b/>
        <w:bCs/>
      </w:rPr>
      <w:t>15</w:t>
    </w:r>
    <w:r>
      <w:rPr>
        <w:b/>
        <w:bCs/>
      </w:rPr>
      <w:fldChar w:fldCharType="end"/>
    </w:r>
    <w:r>
      <w:rPr>
        <w:lang w:val="zh-CN"/>
      </w:rPr>
      <w:t xml:space="preserve"> / </w:t>
    </w:r>
    <w:r>
      <w:rPr>
        <w:b/>
        <w:bCs/>
      </w:rPr>
      <w:fldChar w:fldCharType="begin"/>
    </w:r>
    <w:r>
      <w:rPr>
        <w:b/>
        <w:bCs/>
      </w:rPr>
      <w:instrText xml:space="preserve">NUMPAGES</w:instrText>
    </w:r>
    <w:r>
      <w:rPr>
        <w:b/>
        <w:bCs/>
      </w:rPr>
      <w:fldChar w:fldCharType="separate"/>
    </w:r>
    <w:r>
      <w:rPr>
        <w:b/>
        <w:bCs/>
      </w:rPr>
      <w:t>15</w:t>
    </w:r>
    <w:r>
      <w:rPr>
        <w:b/>
        <w:bCs/>
      </w:rPr>
      <w:fldChar w:fldCharType="end"/>
    </w:r>
  </w:p>
  <w:p w14:paraId="21D7FE57">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C11F96"/>
    <w:rsid w:val="069114AA"/>
    <w:rsid w:val="0BD7170D"/>
    <w:rsid w:val="0C730102"/>
    <w:rsid w:val="0D70006B"/>
    <w:rsid w:val="13451652"/>
    <w:rsid w:val="15EA64E1"/>
    <w:rsid w:val="174001C6"/>
    <w:rsid w:val="18427458"/>
    <w:rsid w:val="1AAE6EA6"/>
    <w:rsid w:val="1F1D3483"/>
    <w:rsid w:val="341669C7"/>
    <w:rsid w:val="346F257B"/>
    <w:rsid w:val="3AB81A71"/>
    <w:rsid w:val="447A08AC"/>
    <w:rsid w:val="45350C77"/>
    <w:rsid w:val="490B41C9"/>
    <w:rsid w:val="49436188"/>
    <w:rsid w:val="4CA63DFC"/>
    <w:rsid w:val="4D7A49A9"/>
    <w:rsid w:val="4FBA24A4"/>
    <w:rsid w:val="52AF74B4"/>
    <w:rsid w:val="581B3CFC"/>
    <w:rsid w:val="5B087C44"/>
    <w:rsid w:val="60C11F96"/>
    <w:rsid w:val="653D3504"/>
    <w:rsid w:val="665B5257"/>
    <w:rsid w:val="67513297"/>
    <w:rsid w:val="6C264CF2"/>
    <w:rsid w:val="6F107A2E"/>
    <w:rsid w:val="71CB1E97"/>
    <w:rsid w:val="725105EF"/>
    <w:rsid w:val="730741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 w:type="paragraph" w:customStyle="1" w:styleId="5">
    <w:name w:val="题目"/>
    <w:next w:val="6"/>
    <w:qFormat/>
    <w:uiPriority w:val="99"/>
    <w:pPr>
      <w:outlineLvl w:val="3"/>
    </w:pPr>
    <w:rPr>
      <w:rFonts w:ascii="Helvetica" w:hAnsi="Helvetica" w:eastAsia="宋体" w:cs="Helvetica"/>
      <w:b/>
      <w:bCs/>
      <w:color w:val="000000"/>
      <w:sz w:val="36"/>
      <w:szCs w:val="36"/>
      <w:lang w:val="en-US" w:eastAsia="zh-CN" w:bidi="ar-SA"/>
    </w:rPr>
  </w:style>
  <w:style w:type="paragraph" w:customStyle="1" w:styleId="6">
    <w:name w:val="正文1"/>
    <w:qFormat/>
    <w:uiPriority w:val="99"/>
    <w:rPr>
      <w:rFonts w:ascii="Arial Unicode MS" w:hAnsi="Arial Unicode MS" w:eastAsia="宋体" w:cs="Arial Unicode MS"/>
      <w:color w:val="000000"/>
      <w:sz w:val="22"/>
      <w:szCs w:val="22"/>
      <w:lang w:val="zh-TW" w:eastAsia="zh-TW" w:bidi="ar-SA"/>
    </w:rPr>
  </w:style>
  <w:style w:type="paragraph" w:customStyle="1" w:styleId="7">
    <w:name w:val="reader-word-layer reader-word-s4-9"/>
    <w:basedOn w:val="1"/>
    <w:qFormat/>
    <w:uiPriority w:val="99"/>
    <w:pPr>
      <w:widowControl/>
      <w:spacing w:before="100" w:beforeAutospacing="1" w:after="100" w:afterAutospacing="1"/>
      <w:jc w:val="left"/>
    </w:pPr>
    <w:rPr>
      <w:rFonts w:ascii="宋体" w:hAnsi="宋体" w:cs="宋体"/>
      <w:kern w:val="0"/>
      <w:sz w:val="24"/>
      <w:szCs w:val="24"/>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3459</Words>
  <Characters>3519</Characters>
  <Lines>0</Lines>
  <Paragraphs>0</Paragraphs>
  <TotalTime>0</TotalTime>
  <ScaleCrop>false</ScaleCrop>
  <LinksUpToDate>false</LinksUpToDate>
  <CharactersWithSpaces>3524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2026-10-13T23:56:00Z</dcterms:created>
  <dc:creator>小宸宸</dc:creator>
  <cp:lastModifiedBy>小宸宸</cp:lastModifiedBy>
  <dcterms:modified xsi:type="dcterms:W3CDTF">2026-10-14T06:31:57Z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7450C4E10DD648F8B799DBA7484DD93E_13</vt:lpwstr>
  </property>
  <property fmtid="{D5CDD505-2E9C-101B-9397-08002B2CF9AE}" pid="4" name="KSOTemplateDocerSaveRecord">
    <vt:lpwstr>eyJoZGlkIjoiYTNkZjY1ZjBhZDE5YTQ0ZGE2OThmNWEzZjkxOWM0MTQiLCJ1c2VySWQiOiI5MzI1MDUyMzMifQ==</vt:lpwstr>
  </property>
</Properties>
</file>