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EA824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奉浦校区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低压电缆破坏点检测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比价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需求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服务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eastAsia="zh-CN"/>
        </w:rPr>
        <w:t>）</w:t>
      </w:r>
    </w:p>
    <w:p w14:paraId="17299DC8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项目概况</w:t>
      </w:r>
    </w:p>
    <w:p w14:paraId="02CAD494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1.项目名称：奉浦校区低压电缆破坏点检测、定位服务项目</w:t>
      </w:r>
    </w:p>
    <w:p w14:paraId="494A7BAD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2.项目内容：对奉浦校区1500米受损低压电缆进行故障点精准定位、出具检测报告、电缆走向图及维修方案（电缆走向不明确，须供应商明确走向、检测）。</w:t>
      </w:r>
    </w:p>
    <w:p w14:paraId="4C57B03C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3.服务期限：合同签订后2个日历天内完成检测、定位出具检测报告、电缆走向图及维修方案。</w:t>
      </w:r>
    </w:p>
    <w:p w14:paraId="5239147A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4.预算金额：4.95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highlight w:val="yellow"/>
          <w:lang w:val="en-US" w:eastAsia="zh-CN" w:bidi="ar-SA"/>
        </w:rPr>
        <w:t>万元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（响应报价超过预算金额为无效响应），费用包含范围：1500米低压电缆故障检测费（含仪器设备使用、数据记录、检测报告编制、维修方案）。</w:t>
      </w:r>
    </w:p>
    <w:p w14:paraId="5DE9752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30"/>
          <w:szCs w:val="30"/>
          <w:lang w:val="en-US" w:eastAsia="zh-CN" w:bidi="ar-SA"/>
        </w:rPr>
        <w:t>✮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二、资质要求及执行标准</w:t>
      </w:r>
    </w:p>
    <w:p w14:paraId="33102BF5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1.供应商须同时具备相应等级的承修类和承试类电力设施许可证；</w:t>
      </w:r>
    </w:p>
    <w:p w14:paraId="467206C0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2.须具备建设行政主管部门颁发的有效期内的安全生产许可证。</w:t>
      </w:r>
    </w:p>
    <w:p w14:paraId="7F8408D3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3.具有独立民事主体，持有有效的营业执照（经营范围须包含电力设施维修、电缆安装等相关内容）</w:t>
      </w:r>
    </w:p>
    <w:p w14:paraId="1344B355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4.未被列入“信用中国”网站失信被执行人、重大税收违法案件当事人名单及“中国政府采购网”政府采购严重违法失信行为记录名单；</w:t>
      </w:r>
    </w:p>
    <w:p w14:paraId="39CCCDAE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5.近3年经营活动中无重大违法记录和重大安全责任事故；</w:t>
      </w:r>
    </w:p>
    <w:p w14:paraId="39F0AF60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6.项目负责人应具备电力相关专业中级职称（如：输配电中级工程师等）、持有安全生产考核合格证书；</w:t>
      </w:r>
    </w:p>
    <w:p w14:paraId="49C1B531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7.项目作业人员须持有高低压电工操作证、电力电缆作业操作证、电气试验作业操作证等应急管理部门颁发的特种作业操作证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instrText xml:space="preserve"> HYPERLINK "http://www.ynaqpx.com/show.asp?id=12503" \t "https://chat.deepseek.com/a/chat/s/_blank"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。</w:t>
      </w:r>
    </w:p>
    <w:p w14:paraId="45F163F4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8.项目的检测须有电气装置安装工程电气设备交接试验标准、电力设备预防性试验规程。</w:t>
      </w:r>
    </w:p>
    <w:p w14:paraId="1DF8C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 xml:space="preserve">三、作业前置安全要求 </w:t>
      </w:r>
    </w:p>
    <w:p w14:paraId="39115395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1.作业审批：检测前须向校方报备，经同意后方可检测。</w:t>
      </w:r>
    </w:p>
    <w:p w14:paraId="3BE06D03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2.电缆识别：开挖前须对施工电缆进行逐条识别，确认目标电缆无误，做好标识和记录。</w:t>
      </w:r>
    </w:p>
    <w:p w14:paraId="73704289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3.停电操作：电缆两端停电、验电、接地、挂牌上锁，确认无残余电压后方可作业。验电时须使用试验合格的0.4kV专用验电器，戴绝缘手套。</w:t>
      </w:r>
    </w:p>
    <w:p w14:paraId="6026AEC9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4.接地线装设：装设接地线时应先接接地端，后接导线端，人体不得碰触接地线。</w:t>
      </w:r>
    </w:p>
    <w:p w14:paraId="5B0DC9C3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5.安全防护：作业区域设安全围挡和警示标识，配备灭火器材。</w:t>
      </w:r>
    </w:p>
    <w:p w14:paraId="34108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 xml:space="preserve">四、破坏点检测需求 </w:t>
      </w:r>
    </w:p>
    <w:p w14:paraId="22F422CE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 xml:space="preserve">（一）故障定位检测 </w:t>
      </w:r>
    </w:p>
    <w:p w14:paraId="13021D62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1. 粗测距：时域脉冲反射法（TDR），测出故障点大致距离；</w:t>
      </w:r>
    </w:p>
    <w:p w14:paraId="3B19ADB7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2. 精确定点：声磁同步法、音频感应法，地面标定开挖范围；</w:t>
      </w:r>
    </w:p>
    <w:p w14:paraId="3928E7DF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3. 路径探测：直埋电缆同步探测电缆走向；</w:t>
      </w:r>
    </w:p>
    <w:p w14:paraId="2648B173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4. 多点排查：多点破损必须全部检出，不可只处理一处；</w:t>
      </w:r>
    </w:p>
    <w:p w14:paraId="193E1E92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5. 影像记录：全程水印相机拍照留存，至少包括测试数据、仪器波形、地面标记点位及周边参照物、开挖前后电缆破损状态。</w:t>
      </w:r>
    </w:p>
    <w:p w14:paraId="7154878E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 xml:space="preserve"> （二）检测交付资料 </w:t>
      </w:r>
    </w:p>
    <w:p w14:paraId="556F731A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 xml:space="preserve">检测完成后，供应商须提交以下资料：检测记录表、绝缘测试数据、故障距离及定位说明、电缆路径及点位示意图、现场影像资料（水印照片），出具故障检测说明报告（含故障原因分析）。 </w:t>
      </w:r>
    </w:p>
    <w:p w14:paraId="2E0C1504">
      <w:pPr>
        <w:pStyle w:val="2"/>
        <w:keepNext w:val="0"/>
        <w:keepLines w:val="0"/>
        <w:widowControl/>
        <w:suppressLineNumbers w:val="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五、违约责任</w:t>
      </w:r>
    </w:p>
    <w:p w14:paraId="1F6F4075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1.逾期完成检测及验收工作的，每逾期1天，按合同总价的5%支付违约金。</w:t>
      </w:r>
    </w:p>
    <w:p w14:paraId="6312061F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highlight w:val="yellow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2.检测完成出具相关报告后如有破坏点漏检、遗漏的每个点位按合同总价10%支付违约金，超过3个点位供应商退还全部费用。六、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highlight w:val="yellow"/>
          <w:lang w:val="en-US" w:eastAsia="zh-CN" w:bidi="ar-SA"/>
        </w:rPr>
        <w:t>支付方式：</w:t>
      </w:r>
    </w:p>
    <w:p w14:paraId="43543F4E">
      <w:pP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highlight w:val="yellow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highlight w:val="yellow"/>
          <w:lang w:val="en-US" w:eastAsia="zh-CN" w:bidi="ar-SA"/>
        </w:rPr>
        <w:t>1.合同签订后支付合同价30%。验收合格后支付合同价70%。</w:t>
      </w:r>
    </w:p>
    <w:p w14:paraId="3CCC79C1">
      <w:pPr>
        <w:pStyle w:val="2"/>
        <w:keepNext w:val="0"/>
        <w:keepLines w:val="0"/>
        <w:widowControl/>
        <w:suppressLineNumbers w:val="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30"/>
          <w:szCs w:val="30"/>
          <w:lang w:val="en-US" w:eastAsia="zh-CN" w:bidi="ar-SA"/>
        </w:rPr>
        <w:t>✮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七、响应文件要求</w:t>
      </w:r>
    </w:p>
    <w:p w14:paraId="348528DB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响应文件须提供以下材料（加盖公章）：</w:t>
      </w:r>
    </w:p>
    <w:p w14:paraId="76B8DD14">
      <w:pP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1.营业执照复印件、安全生产许可证复印件</w:t>
      </w:r>
    </w:p>
    <w:p w14:paraId="5C5A0CB5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2.承装（修、试）电力设施许可证资质复印件</w:t>
      </w:r>
    </w:p>
    <w:p w14:paraId="593B4D5A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3.项目负责人电力中级职称证书、施工人员高压/低压电工操作/电试证复印件</w:t>
      </w:r>
    </w:p>
    <w:p w14:paraId="364766A1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4.检测及修复施工方案（含安全措施）</w:t>
      </w:r>
    </w:p>
    <w:p w14:paraId="24BA712F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5.零配件及材料报价清单</w:t>
      </w:r>
    </w:p>
    <w:p w14:paraId="4FB24A22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6.无安全责任事故声明；</w:t>
      </w:r>
    </w:p>
    <w:p w14:paraId="6ACAC456">
      <w:pP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7.质保承诺书</w:t>
      </w:r>
      <w:bookmarkStart w:id="0" w:name="_GoBack"/>
      <w:bookmarkEnd w:id="0"/>
    </w:p>
    <w:p w14:paraId="5B37F2A8">
      <w:pPr>
        <w:rPr>
          <w:rFonts w:hint="eastAsia" w:ascii="方正仿宋_GB2312" w:hAnsi="方正仿宋_GB2312" w:eastAsia="方正仿宋_GB2312" w:cs="方正仿宋_GB2312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0"/>
          <w:szCs w:val="30"/>
          <w:lang w:val="en-US" w:eastAsia="zh-CN" w:bidi="ar-SA"/>
        </w:rPr>
        <w:t>注：标有“</w:t>
      </w:r>
      <w:r>
        <w:rPr>
          <w:rFonts w:hint="eastAsia" w:ascii="微软雅黑" w:hAnsi="微软雅黑" w:eastAsia="微软雅黑" w:cs="微软雅黑"/>
          <w:b/>
          <w:bCs/>
          <w:kern w:val="2"/>
          <w:sz w:val="30"/>
          <w:szCs w:val="30"/>
          <w:lang w:val="en-US" w:eastAsia="zh-CN" w:bidi="ar-SA"/>
        </w:rPr>
        <w:t>✮</w:t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0"/>
          <w:szCs w:val="30"/>
          <w:lang w:val="en-US" w:eastAsia="zh-CN" w:bidi="ar-SA"/>
        </w:rPr>
        <w:t>”的要求为资格符合性检查项，若不满足资格检查作不通过处理，为无效响应。</w:t>
      </w:r>
    </w:p>
    <w:p w14:paraId="45749406">
      <w:pPr>
        <w:rPr>
          <w:rFonts w:hint="eastAsia" w:ascii="方正仿宋_GB2312" w:hAnsi="方正仿宋_GB2312" w:eastAsia="方正仿宋_GB2312" w:cs="方正仿宋_GB2312"/>
          <w:b/>
          <w:bCs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28B527"/>
    <w:multiLevelType w:val="singleLevel"/>
    <w:tmpl w:val="FF28B5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56B46"/>
    <w:rsid w:val="0B5048E5"/>
    <w:rsid w:val="3B7B553A"/>
    <w:rsid w:val="50101B36"/>
    <w:rsid w:val="5E67616B"/>
    <w:rsid w:val="6E785455"/>
    <w:rsid w:val="7EB3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1307</Words>
  <Characters>1361</Characters>
  <Lines>0</Lines>
  <Paragraphs>0</Paragraphs>
  <TotalTime>2</TotalTime>
  <ScaleCrop>false</ScaleCrop>
  <LinksUpToDate>false</LinksUpToDate>
  <CharactersWithSpaces>1372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2026-08-21T05:15:00Z</dcterms:created>
  <dc:creator>admin</dc:creator>
  <cp:lastModifiedBy>苗华颖</cp:lastModifiedBy>
  <dcterms:modified xsi:type="dcterms:W3CDTF">2026-08-31T04:01:49Z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eyJoZGlkIjoiMTVhOTkzYThiOGQ0YzJjZDdhNDNmNjYxN2Q3NGQzZGYiLCJ1c2VySWQiOiI2NTgzNDIwMTEifQ==</vt:lpwstr>
  </property>
  <property fmtid="{D5CDD505-2E9C-101B-9397-08002B2CF9AE}" pid="4" name="ICV">
    <vt:lpwstr>D76673BDD76A42288D528A9C1F797678_13</vt:lpwstr>
  </property>
</Properties>
</file>