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F2701">
      <w:pPr>
        <w:spacing w:before="157" w:after="157" w:line="270" w:lineRule="auto"/>
        <w:jc w:val="center"/>
        <w:rPr>
          <w:rFonts w:ascii="宋体" w:hAnsi="宋体" w:eastAsia="宋体" w:cs="source serif 4"/>
          <w:b/>
          <w:color w:val="000000"/>
          <w:sz w:val="39"/>
        </w:rPr>
      </w:pPr>
      <w:bookmarkStart w:id="0" w:name="采购需求书"/>
      <w:r>
        <w:rPr>
          <w:rFonts w:ascii="宋体" w:hAnsi="宋体" w:eastAsia="宋体" w:cs="source serif 4"/>
          <w:b/>
          <w:color w:val="000000"/>
          <w:sz w:val="39"/>
        </w:rPr>
        <w:t>采购需求书</w:t>
      </w:r>
      <w:bookmarkEnd w:id="0"/>
    </w:p>
    <w:p w14:paraId="03FEE7DF">
      <w:pPr>
        <w:spacing w:before="157" w:after="157" w:line="270" w:lineRule="auto"/>
        <w:jc w:val="center"/>
        <w:rPr>
          <w:rFonts w:hint="eastAsia" w:ascii="仿宋" w:hAnsi="仿宋" w:eastAsia="仿宋" w:cs="仿宋"/>
          <w:b/>
          <w:color w:val="000000"/>
          <w:sz w:val="39"/>
        </w:rPr>
      </w:pPr>
    </w:p>
    <w:p w14:paraId="50982043">
      <w:pPr>
        <w:spacing w:before="315" w:after="105" w:line="360" w:lineRule="auto"/>
        <w:ind w:left="-30"/>
        <w:rPr>
          <w:rFonts w:hint="eastAsia" w:ascii="仿宋" w:hAnsi="仿宋" w:eastAsia="仿宋" w:cs="仿宋"/>
          <w:sz w:val="28"/>
          <w:szCs w:val="28"/>
        </w:rPr>
      </w:pPr>
      <w:bookmarkStart w:id="1" w:name="一_项目基本信息"/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一、项目基本信息</w:t>
      </w:r>
      <w:bookmarkEnd w:id="1"/>
    </w:p>
    <w:tbl>
      <w:tblPr>
        <w:tblStyle w:val="8"/>
        <w:tblW w:w="9726" w:type="dxa"/>
        <w:jc w:val="center"/>
        <w:tblCellSpacing w:w="0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80" w:type="dxa"/>
          <w:left w:w="160" w:type="dxa"/>
          <w:bottom w:w="80" w:type="dxa"/>
          <w:right w:w="160" w:type="dxa"/>
        </w:tblCellMar>
      </w:tblPr>
      <w:tblGrid>
        <w:gridCol w:w="1730"/>
        <w:gridCol w:w="7996"/>
      </w:tblGrid>
      <w:tr w14:paraId="753CF615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642" w:hRule="atLeast"/>
          <w:tblHeader/>
          <w:tblCellSpacing w:w="0" w:type="dxa"/>
          <w:jc w:val="center"/>
        </w:trPr>
        <w:tc>
          <w:tcPr>
            <w:tcW w:w="1730" w:type="dxa"/>
            <w:tcBorders>
              <w:top w:val="single" w:color="000000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1A8E71">
            <w:pPr>
              <w:snapToGrid w:val="0"/>
              <w:spacing w:after="0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7996" w:type="dxa"/>
            <w:tcBorders>
              <w:top w:val="single" w:color="000000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D778AA">
            <w:pPr>
              <w:snapToGrid w:val="0"/>
              <w:spacing w:after="0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内容</w:t>
            </w:r>
          </w:p>
        </w:tc>
      </w:tr>
      <w:tr w14:paraId="614439F9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474" w:hRule="atLeast"/>
          <w:tblHeader/>
          <w:tblCellSpacing w:w="0" w:type="dxa"/>
          <w:jc w:val="center"/>
        </w:trPr>
        <w:tc>
          <w:tcPr>
            <w:tcW w:w="1730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B98C26">
            <w:pPr>
              <w:snapToGrid w:val="0"/>
              <w:spacing w:after="0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7996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4265B1">
            <w:pPr>
              <w:snapToGrid w:val="0"/>
              <w:spacing w:after="0"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人工智能开发工作站采购项目</w:t>
            </w:r>
          </w:p>
        </w:tc>
      </w:tr>
      <w:tr w14:paraId="40086FD0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90" w:hRule="atLeast"/>
          <w:tblHeader/>
          <w:tblCellSpacing w:w="0" w:type="dxa"/>
          <w:jc w:val="center"/>
        </w:trPr>
        <w:tc>
          <w:tcPr>
            <w:tcW w:w="1730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70FD45">
            <w:pPr>
              <w:snapToGrid w:val="0"/>
              <w:spacing w:after="0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采购方式</w:t>
            </w:r>
          </w:p>
        </w:tc>
        <w:tc>
          <w:tcPr>
            <w:tcW w:w="7996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B1048D">
            <w:pPr>
              <w:snapToGrid w:val="0"/>
              <w:spacing w:after="0" w:line="360" w:lineRule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比价采购</w:t>
            </w:r>
          </w:p>
        </w:tc>
      </w:tr>
      <w:tr w14:paraId="184708F1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90" w:hRule="atLeast"/>
          <w:tblHeader/>
          <w:tblCellSpacing w:w="0" w:type="dxa"/>
          <w:jc w:val="center"/>
        </w:trPr>
        <w:tc>
          <w:tcPr>
            <w:tcW w:w="1730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B64932">
            <w:pPr>
              <w:snapToGrid w:val="0"/>
              <w:spacing w:after="0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采购预算</w:t>
            </w:r>
          </w:p>
        </w:tc>
        <w:tc>
          <w:tcPr>
            <w:tcW w:w="7996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22B358">
            <w:pPr>
              <w:snapToGrid w:val="0"/>
              <w:spacing w:after="0"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人民币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/>
              </w:rPr>
              <w:t>5万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元</w:t>
            </w:r>
          </w:p>
        </w:tc>
      </w:tr>
      <w:tr w14:paraId="0902625B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90" w:hRule="atLeast"/>
          <w:tblHeader/>
          <w:tblCellSpacing w:w="0" w:type="dxa"/>
          <w:jc w:val="center"/>
        </w:trPr>
        <w:tc>
          <w:tcPr>
            <w:tcW w:w="1730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2ED472">
            <w:pPr>
              <w:snapToGrid w:val="0"/>
              <w:spacing w:after="0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采购数量</w:t>
            </w:r>
          </w:p>
        </w:tc>
        <w:tc>
          <w:tcPr>
            <w:tcW w:w="7996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9923E2">
            <w:pPr>
              <w:snapToGrid w:val="0"/>
              <w:spacing w:after="0"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台</w:t>
            </w:r>
          </w:p>
        </w:tc>
      </w:tr>
      <w:tr w14:paraId="7C740C3D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90" w:hRule="atLeast"/>
          <w:tblHeader/>
          <w:tblCellSpacing w:w="0" w:type="dxa"/>
          <w:jc w:val="center"/>
        </w:trPr>
        <w:tc>
          <w:tcPr>
            <w:tcW w:w="1730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83FAF3">
            <w:pPr>
              <w:snapToGrid w:val="0"/>
              <w:spacing w:after="0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交货地点</w:t>
            </w:r>
          </w:p>
        </w:tc>
        <w:tc>
          <w:tcPr>
            <w:tcW w:w="7996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3F1777">
            <w:pPr>
              <w:snapToGrid w:val="0"/>
              <w:spacing w:after="0" w:line="360" w:lineRule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  <w:t>上海市徐汇区漕宝路121号（上海商学院）</w:t>
            </w:r>
          </w:p>
        </w:tc>
      </w:tr>
      <w:tr w14:paraId="70CD73B3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90" w:hRule="atLeast"/>
          <w:tblHeader/>
          <w:tblCellSpacing w:w="0" w:type="dxa"/>
          <w:jc w:val="center"/>
        </w:trPr>
        <w:tc>
          <w:tcPr>
            <w:tcW w:w="1730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068277">
            <w:pPr>
              <w:snapToGrid w:val="0"/>
              <w:spacing w:after="0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交货期限</w:t>
            </w:r>
          </w:p>
        </w:tc>
        <w:tc>
          <w:tcPr>
            <w:tcW w:w="7996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C7BDEA">
            <w:pPr>
              <w:snapToGrid w:val="0"/>
              <w:spacing w:after="0"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合同签订后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日历日内完成供货、安装、调试及验收</w:t>
            </w:r>
          </w:p>
        </w:tc>
      </w:tr>
      <w:tr w14:paraId="26AE1FB9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90" w:hRule="atLeast"/>
          <w:tblHeader/>
          <w:tblCellSpacing w:w="0" w:type="dxa"/>
          <w:jc w:val="center"/>
        </w:trPr>
        <w:tc>
          <w:tcPr>
            <w:tcW w:w="1730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DC94FD">
            <w:pPr>
              <w:snapToGrid w:val="0"/>
              <w:spacing w:after="0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采购标的</w:t>
            </w:r>
          </w:p>
        </w:tc>
        <w:tc>
          <w:tcPr>
            <w:tcW w:w="7996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4C643B">
            <w:pPr>
              <w:snapToGrid w:val="0"/>
              <w:spacing w:after="0"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人工智能开发工作站（AI 工作站）</w:t>
            </w:r>
          </w:p>
        </w:tc>
      </w:tr>
      <w:tr w14:paraId="389E9D8C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534" w:hRule="atLeast"/>
          <w:tblHeader/>
          <w:tblCellSpacing w:w="0" w:type="dxa"/>
          <w:jc w:val="center"/>
        </w:trPr>
        <w:tc>
          <w:tcPr>
            <w:tcW w:w="1730" w:type="dxa"/>
            <w:tcBorders>
              <w:top w:val="single" w:color="000000" w:sz="4" w:space="0"/>
              <w:left w:val="single" w:color="auto" w:sz="12" w:space="0"/>
              <w:bottom w:val="single" w:color="000000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03D274">
            <w:pPr>
              <w:snapToGrid w:val="0"/>
              <w:spacing w:after="0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核心产品</w:t>
            </w:r>
          </w:p>
        </w:tc>
        <w:tc>
          <w:tcPr>
            <w:tcW w:w="7996" w:type="dxa"/>
            <w:tcBorders>
              <w:top w:val="single" w:color="000000" w:sz="4" w:space="0"/>
              <w:left w:val="single" w:color="auto" w:sz="4" w:space="0"/>
              <w:bottom w:val="single" w:color="000000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AD623E">
            <w:pPr>
              <w:snapToGrid w:val="0"/>
              <w:spacing w:after="0"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AI 工作站</w:t>
            </w:r>
          </w:p>
        </w:tc>
      </w:tr>
    </w:tbl>
    <w:p w14:paraId="380ECB9B">
      <w:pPr>
        <w:rPr>
          <w:rFonts w:hint="eastAsia" w:ascii="仿宋" w:hAnsi="仿宋" w:eastAsia="仿宋" w:cs="仿宋"/>
        </w:rPr>
      </w:pPr>
    </w:p>
    <w:p w14:paraId="2AA5BCF8">
      <w:pPr>
        <w:spacing w:before="315" w:after="105" w:line="360" w:lineRule="auto"/>
        <w:ind w:left="-30"/>
        <w:rPr>
          <w:rFonts w:hint="eastAsia" w:ascii="仿宋" w:hAnsi="仿宋" w:eastAsia="仿宋" w:cs="仿宋"/>
          <w:sz w:val="28"/>
          <w:szCs w:val="28"/>
        </w:rPr>
      </w:pPr>
      <w:bookmarkStart w:id="2" w:name="二_采购背景与目标"/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二、采购背景与目标</w:t>
      </w:r>
      <w:bookmarkEnd w:id="2"/>
    </w:p>
    <w:p w14:paraId="334F50C2">
      <w:pPr>
        <w:spacing w:after="210"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采购人工智能开发工作站，用于开展大语言模型、多模态模型、计算机视觉模型等人工智能应用的本地开发、推理验证、模型微调、数据处理及原型测试。</w:t>
      </w:r>
    </w:p>
    <w:p w14:paraId="04D9F414">
      <w:pPr>
        <w:spacing w:after="210"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设备应具备紧凑型桌面部署能力、较高的 AI 推理算力和大容量统一内存，满足研发人员在本地运行大参数量模型及使用容器化 AI 软件栈的需求。</w:t>
      </w:r>
    </w:p>
    <w:p w14:paraId="49FEB560">
      <w:pPr>
        <w:numPr>
          <w:ilvl w:val="0"/>
          <w:numId w:val="1"/>
        </w:numPr>
        <w:spacing w:before="315" w:after="105" w:line="360" w:lineRule="auto"/>
        <w:ind w:left="-30"/>
        <w:rPr>
          <w:rFonts w:hint="eastAsia" w:ascii="仿宋" w:hAnsi="仿宋" w:eastAsia="仿宋" w:cs="仿宋"/>
          <w:b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投标供应商资格要求</w:t>
      </w:r>
    </w:p>
    <w:p w14:paraId="6A7566DE">
      <w:pPr>
        <w:spacing w:after="210" w:line="36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符合中华人民共和国相关法律法规。</w:t>
      </w:r>
    </w:p>
    <w:p w14:paraId="3ABBA2DD">
      <w:pPr>
        <w:spacing w:before="315" w:after="105" w:line="360" w:lineRule="auto"/>
        <w:ind w:left="-30"/>
        <w:rPr>
          <w:rFonts w:hint="eastAsia" w:ascii="仿宋" w:hAnsi="仿宋" w:eastAsia="仿宋" w:cs="仿宋"/>
          <w:sz w:val="28"/>
          <w:szCs w:val="28"/>
        </w:rPr>
      </w:pPr>
      <w:bookmarkStart w:id="3" w:name="四_技术需求"/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四、技术需求</w:t>
      </w:r>
      <w:bookmarkEnd w:id="3"/>
    </w:p>
    <w:p w14:paraId="37CBCBFB">
      <w:pPr>
        <w:spacing w:before="315" w:after="105" w:line="360" w:lineRule="auto"/>
        <w:ind w:left="-390" w:firstLine="422" w:firstLineChars="150"/>
        <w:rPr>
          <w:rFonts w:hint="eastAsia" w:ascii="仿宋" w:hAnsi="仿宋" w:eastAsia="仿宋" w:cs="仿宋"/>
          <w:b/>
          <w:color w:val="000000"/>
          <w:sz w:val="28"/>
          <w:szCs w:val="28"/>
        </w:rPr>
      </w:pPr>
      <w:bookmarkStart w:id="4" w:name="bm_4_2_硬件技术参数"/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4.1 硬件技术参数</w:t>
      </w:r>
      <w:bookmarkEnd w:id="4"/>
    </w:p>
    <w:tbl>
      <w:tblPr>
        <w:tblStyle w:val="3"/>
        <w:tblW w:w="0" w:type="auto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1241"/>
        <w:gridCol w:w="7734"/>
      </w:tblGrid>
      <w:tr w14:paraId="27DDDF7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  <w:tblHeader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B0AAAD">
            <w:pPr>
              <w:snapToGrid w:val="0"/>
              <w:spacing w:before="315" w:after="105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0" w:type="auto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906A45">
            <w:pPr>
              <w:snapToGrid w:val="0"/>
              <w:spacing w:before="315" w:after="105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规格型号</w:t>
            </w:r>
          </w:p>
        </w:tc>
        <w:tc>
          <w:tcPr>
            <w:tcW w:w="773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498E1E">
            <w:pPr>
              <w:snapToGrid w:val="0"/>
              <w:spacing w:before="315" w:after="105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技术要求</w:t>
            </w:r>
          </w:p>
        </w:tc>
      </w:tr>
      <w:tr w14:paraId="1D86A2B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2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D234B8">
            <w:pPr>
              <w:snapToGrid w:val="0"/>
              <w:spacing w:before="315" w:after="105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3D2692">
            <w:pPr>
              <w:snapToGrid w:val="0"/>
              <w:spacing w:before="315" w:after="105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DGX SPARK</w:t>
            </w:r>
          </w:p>
        </w:tc>
        <w:tc>
          <w:tcPr>
            <w:tcW w:w="773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DFC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>CPU：20 core Arm，10 Cortex-X925 + 10 Cortex-A725 Arm</w:t>
            </w:r>
          </w:p>
          <w:p w14:paraId="3FF5F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GPU：NVIDIA Blackwell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架构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包含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>NVIDIA Blackwell Generation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的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>CUDA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核心</w:t>
            </w:r>
          </w:p>
          <w:p w14:paraId="42384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性能：FP4 Tensor AI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算力不低于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1 PFLOP</w:t>
            </w:r>
          </w:p>
          <w:p w14:paraId="5A226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系统内存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>：128 GB LPDDR5x，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统一寻址系统内存</w:t>
            </w:r>
          </w:p>
          <w:p w14:paraId="449F7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内存接口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>：256-bit</w:t>
            </w:r>
          </w:p>
          <w:p w14:paraId="270C9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内存位宽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>：273 GB/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秒</w:t>
            </w:r>
          </w:p>
          <w:p w14:paraId="596AB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存储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具有自加密功能的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>4 TB NVME.M2</w:t>
            </w:r>
          </w:p>
          <w:p w14:paraId="60B65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USB：4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个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USB TypeC </w:t>
            </w:r>
          </w:p>
          <w:p w14:paraId="78D9C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以太网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：1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个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RJ-45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接口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>（10 GbE）</w:t>
            </w:r>
          </w:p>
          <w:p w14:paraId="0B78A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网卡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>：ConnectX-7 200G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智能网卡</w:t>
            </w:r>
          </w:p>
          <w:p w14:paraId="1BC34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>Wi-Fi：WiFi 7</w:t>
            </w:r>
          </w:p>
          <w:p w14:paraId="0FE5E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蓝牙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：BT 5.3 </w:t>
            </w:r>
          </w:p>
          <w:p w14:paraId="653079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音频输出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：HDMI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多通道音频输出</w:t>
            </w:r>
          </w:p>
          <w:p w14:paraId="68802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显示器接口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>：HDMI 2.1a</w:t>
            </w:r>
          </w:p>
          <w:p w14:paraId="47DFF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视频编码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>/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视频解码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>（NVENC / NVDEC）：1x / 1x</w:t>
            </w:r>
          </w:p>
          <w:p w14:paraId="1A2B2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操作系统及软件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>：NVIDIA DGX OS</w:t>
            </w:r>
          </w:p>
          <w:p w14:paraId="00FDA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外设配件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>：1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>27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寸2K显示器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同品牌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  <w:t>套键盘鼠标</w:t>
            </w:r>
          </w:p>
        </w:tc>
      </w:tr>
    </w:tbl>
    <w:p w14:paraId="5C64BDD8">
      <w:pPr>
        <w:spacing w:before="315" w:after="105" w:line="360" w:lineRule="auto"/>
        <w:ind w:left="-30"/>
        <w:rPr>
          <w:rFonts w:hint="eastAsia" w:ascii="仿宋" w:hAnsi="仿宋" w:eastAsia="仿宋" w:cs="仿宋"/>
          <w:sz w:val="28"/>
          <w:szCs w:val="28"/>
        </w:rPr>
      </w:pPr>
      <w:bookmarkStart w:id="5" w:name="bm_4_3_软件与应用要求"/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4.2 软件与应用要求</w:t>
      </w:r>
      <w:bookmarkEnd w:id="5"/>
    </w:p>
    <w:tbl>
      <w:tblPr>
        <w:tblStyle w:val="8"/>
        <w:tblW w:w="9726" w:type="dxa"/>
        <w:jc w:val="center"/>
        <w:tblCellSpacing w:w="0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80" w:type="dxa"/>
          <w:left w:w="160" w:type="dxa"/>
          <w:bottom w:w="80" w:type="dxa"/>
          <w:right w:w="160" w:type="dxa"/>
        </w:tblCellMar>
      </w:tblPr>
      <w:tblGrid>
        <w:gridCol w:w="462"/>
        <w:gridCol w:w="1524"/>
        <w:gridCol w:w="7740"/>
      </w:tblGrid>
      <w:tr w14:paraId="02CBBAA5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Header/>
          <w:tblCellSpacing w:w="0" w:type="dxa"/>
          <w:jc w:val="center"/>
        </w:trPr>
        <w:tc>
          <w:tcPr>
            <w:tcW w:w="462" w:type="dxa"/>
            <w:tcBorders>
              <w:top w:val="single" w:color="000000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D3FF0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524" w:type="dxa"/>
            <w:tcBorders>
              <w:top w:val="single" w:color="000000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EC920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功能项</w:t>
            </w:r>
          </w:p>
        </w:tc>
        <w:tc>
          <w:tcPr>
            <w:tcW w:w="7740" w:type="dxa"/>
            <w:tcBorders>
              <w:top w:val="single" w:color="000000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AAFD7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技术要求</w:t>
            </w:r>
          </w:p>
        </w:tc>
      </w:tr>
      <w:tr w14:paraId="121AACA9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C406A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41510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AI 软件栈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CD4D48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支持 CUDA 或同等 GPU 加速计算平台，支持主流深度学习框架及推理工具。</w:t>
            </w:r>
          </w:p>
        </w:tc>
      </w:tr>
      <w:tr w14:paraId="0DE8E801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5E794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5F873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容器环境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D3FEF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支持 Docker或兼容容器运行环境，支持容器化模型部署和开发。</w:t>
            </w:r>
          </w:p>
        </w:tc>
      </w:tr>
      <w:tr w14:paraId="1EBD448B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19308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676D6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开发框架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DDEC4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支持 PyTorch、TensorFlow、JupyterLab 等常用人工智能开发环境。</w:t>
            </w:r>
          </w:p>
        </w:tc>
      </w:tr>
      <w:tr w14:paraId="46F1B1F9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FB548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E766B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模型推理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5C248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支持大语言模型、多模态模型、计算机视觉模型等本地推理应用。</w:t>
            </w:r>
          </w:p>
        </w:tc>
      </w:tr>
      <w:tr w14:paraId="08B8C7E2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45650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411B4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模型微调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C13270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支持参数高效微调、量化、模型转换和推理加速等开发测试工作。</w:t>
            </w:r>
          </w:p>
        </w:tc>
      </w:tr>
      <w:tr w14:paraId="7AE97108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D8F0B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9828A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软件更新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5C45A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支持操作系统、驱动程序及 AI 软件组件的升级、更新与补丁管理。</w:t>
            </w:r>
          </w:p>
        </w:tc>
      </w:tr>
      <w:tr w14:paraId="55D75FF4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auto" w:sz="12" w:space="0"/>
              <w:bottom w:val="single" w:color="000000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A23DD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auto" w:sz="4" w:space="0"/>
              <w:bottom w:val="single" w:color="000000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2C07C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运维管理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auto" w:sz="4" w:space="0"/>
              <w:bottom w:val="single" w:color="000000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34060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支持本地或远程方式进行网络配置、系统状态查看、日志查询及基础故障排查。</w:t>
            </w:r>
          </w:p>
        </w:tc>
      </w:tr>
    </w:tbl>
    <w:p w14:paraId="3E5A5A26">
      <w:pPr>
        <w:rPr>
          <w:rFonts w:hint="eastAsia" w:ascii="仿宋" w:hAnsi="仿宋" w:eastAsia="仿宋" w:cs="仿宋"/>
        </w:rPr>
      </w:pPr>
    </w:p>
    <w:p w14:paraId="1C52DF1B">
      <w:pPr>
        <w:spacing w:before="315" w:after="105" w:line="360" w:lineRule="auto"/>
        <w:ind w:left="-30"/>
        <w:rPr>
          <w:rFonts w:hint="eastAsia" w:ascii="仿宋" w:hAnsi="仿宋" w:eastAsia="仿宋" w:cs="仿宋"/>
          <w:sz w:val="28"/>
          <w:szCs w:val="28"/>
        </w:rPr>
      </w:pPr>
      <w:bookmarkStart w:id="6" w:name="五_服务要求"/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五、服务要求</w:t>
      </w:r>
      <w:bookmarkEnd w:id="6"/>
    </w:p>
    <w:p w14:paraId="3245C941">
      <w:pPr>
        <w:spacing w:before="315" w:after="105" w:line="360" w:lineRule="auto"/>
        <w:ind w:left="-30"/>
        <w:rPr>
          <w:rFonts w:hint="eastAsia" w:ascii="仿宋" w:hAnsi="仿宋" w:eastAsia="仿宋" w:cs="仿宋"/>
          <w:sz w:val="28"/>
          <w:szCs w:val="28"/>
        </w:rPr>
      </w:pPr>
      <w:bookmarkStart w:id="7" w:name="bm_5_1_供货要求"/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5.1 供货要求</w:t>
      </w:r>
      <w:bookmarkEnd w:id="7"/>
    </w:p>
    <w:p w14:paraId="3A46902A">
      <w:pPr>
        <w:pStyle w:val="10"/>
        <w:numPr>
          <w:ilvl w:val="0"/>
          <w:numId w:val="2"/>
        </w:numPr>
        <w:ind w:firstLineChars="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供应商应提供全新、未使用的原厂产品，符合国家及行业现行有关质量、安全、环保和电磁兼容要求；不接受翻新机、二手机、样机、拆机件、拼装机或通过非正规渠道获得的产品；</w:t>
      </w:r>
    </w:p>
    <w:p w14:paraId="40157506">
      <w:pPr>
        <w:numPr>
          <w:ilvl w:val="0"/>
          <w:numId w:val="2"/>
        </w:numPr>
        <w:spacing w:before="105" w:after="105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设备包装应符合原厂运输要求，外包装应标明产品名称、型号、数量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、以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及必要的运输标识。</w:t>
      </w:r>
    </w:p>
    <w:p w14:paraId="123731E3">
      <w:pPr>
        <w:numPr>
          <w:ilvl w:val="0"/>
          <w:numId w:val="2"/>
        </w:numPr>
        <w:spacing w:before="105" w:after="105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交货时应提供设备序列号清单、装箱单、使用说明书及其他随附资料。</w:t>
      </w:r>
    </w:p>
    <w:p w14:paraId="6A81889C">
      <w:pPr>
        <w:spacing w:before="315" w:after="105" w:line="360" w:lineRule="auto"/>
        <w:ind w:left="-30"/>
        <w:rPr>
          <w:rFonts w:hint="eastAsia" w:ascii="仿宋" w:hAnsi="仿宋" w:eastAsia="仿宋" w:cs="仿宋"/>
          <w:sz w:val="28"/>
          <w:szCs w:val="28"/>
        </w:rPr>
      </w:pPr>
      <w:bookmarkStart w:id="8" w:name="bm_5_2_安装调试"/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5.2 安装调试</w:t>
      </w:r>
      <w:bookmarkEnd w:id="8"/>
    </w:p>
    <w:p w14:paraId="0662BCE4">
      <w:pPr>
        <w:spacing w:after="210" w:line="360" w:lineRule="auto"/>
        <w:ind w:left="0" w:leftChars="0" w:firstLine="638" w:firstLineChars="228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供应商应在交货地点完成以下工作：</w:t>
      </w:r>
      <w:bookmarkStart w:id="17" w:name="_GoBack"/>
      <w:bookmarkEnd w:id="17"/>
    </w:p>
    <w:p w14:paraId="14F51FBE">
      <w:pPr>
        <w:numPr>
          <w:ilvl w:val="0"/>
          <w:numId w:val="3"/>
        </w:numPr>
        <w:spacing w:before="105" w:after="105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设备开箱、外观检查、上电和系统初始化</w:t>
      </w:r>
    </w:p>
    <w:p w14:paraId="1ACF763F">
      <w:pPr>
        <w:numPr>
          <w:ilvl w:val="0"/>
          <w:numId w:val="3"/>
        </w:numPr>
        <w:spacing w:before="105" w:after="105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有线网络连通性接口测试</w:t>
      </w:r>
    </w:p>
    <w:p w14:paraId="23F80789">
      <w:pPr>
        <w:numPr>
          <w:ilvl w:val="0"/>
          <w:numId w:val="3"/>
        </w:numPr>
        <w:spacing w:before="105" w:after="105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操作系统、驱动、容器运行环境及 AI 开发环境检查</w:t>
      </w:r>
    </w:p>
    <w:p w14:paraId="7AAA9B59">
      <w:pPr>
        <w:numPr>
          <w:ilvl w:val="0"/>
          <w:numId w:val="3"/>
        </w:numPr>
        <w:spacing w:before="105" w:after="105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提供设备配置、安装调试及测试记录</w:t>
      </w:r>
    </w:p>
    <w:p w14:paraId="7E168D67">
      <w:pPr>
        <w:spacing w:before="315" w:after="105" w:line="360" w:lineRule="auto"/>
        <w:ind w:left="-30"/>
        <w:rPr>
          <w:rFonts w:hint="eastAsia" w:ascii="仿宋" w:hAnsi="仿宋" w:eastAsia="仿宋" w:cs="仿宋"/>
          <w:sz w:val="28"/>
          <w:szCs w:val="28"/>
        </w:rPr>
      </w:pPr>
      <w:bookmarkStart w:id="9" w:name="bm_5_3_培训要求"/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5.3 培训要求</w:t>
      </w:r>
      <w:bookmarkEnd w:id="9"/>
    </w:p>
    <w:p w14:paraId="423BB429">
      <w:pPr>
        <w:spacing w:after="21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供应商应提供不少于 1 次的现场或远程培训，培训对象不少于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/>
        </w:rPr>
        <w:t>3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人，培训内容至少包括：</w:t>
      </w:r>
    </w:p>
    <w:p w14:paraId="077B5999">
      <w:pPr>
        <w:numPr>
          <w:ilvl w:val="0"/>
          <w:numId w:val="4"/>
        </w:numPr>
        <w:spacing w:before="105" w:after="105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设备开关机、网络配置与基础运维</w:t>
      </w:r>
    </w:p>
    <w:p w14:paraId="2228E7C0">
      <w:pPr>
        <w:numPr>
          <w:ilvl w:val="0"/>
          <w:numId w:val="4"/>
        </w:numPr>
        <w:spacing w:before="105" w:after="105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操作系统及容器环境使用</w:t>
      </w:r>
    </w:p>
    <w:p w14:paraId="164F67D3">
      <w:pPr>
        <w:numPr>
          <w:ilvl w:val="0"/>
          <w:numId w:val="4"/>
        </w:numPr>
        <w:spacing w:before="105" w:after="105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AI 开发框架、模型部署及推理测试流程</w:t>
      </w:r>
    </w:p>
    <w:p w14:paraId="7F4ED088">
      <w:pPr>
        <w:numPr>
          <w:ilvl w:val="0"/>
          <w:numId w:val="4"/>
        </w:numPr>
        <w:spacing w:before="105" w:after="105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数据存储、日志查看及常见故障处理</w:t>
      </w:r>
    </w:p>
    <w:p w14:paraId="0DA2EB2B">
      <w:pPr>
        <w:numPr>
          <w:ilvl w:val="0"/>
          <w:numId w:val="4"/>
        </w:numPr>
        <w:spacing w:before="105" w:after="105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安全使用注意事项及售后报修流程</w:t>
      </w:r>
    </w:p>
    <w:p w14:paraId="7E061934">
      <w:pPr>
        <w:numPr>
          <w:ilvl w:val="0"/>
          <w:numId w:val="4"/>
        </w:numPr>
        <w:spacing w:before="105" w:after="105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提供线下原厂讲师NVIDIA DLI课程支持（培训学员不低于10人次）</w:t>
      </w:r>
    </w:p>
    <w:p w14:paraId="19BE930A">
      <w:pPr>
        <w:numPr>
          <w:ilvl w:val="0"/>
          <w:numId w:val="4"/>
        </w:numPr>
        <w:spacing w:before="105" w:after="105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提供不少于3个NVIDIA DLI课程码，便于用户学习</w:t>
      </w:r>
    </w:p>
    <w:p w14:paraId="3E248A8B">
      <w:pPr>
        <w:spacing w:before="315" w:after="105" w:line="360" w:lineRule="auto"/>
        <w:ind w:left="-30"/>
        <w:rPr>
          <w:rFonts w:hint="eastAsia" w:ascii="仿宋" w:hAnsi="仿宋" w:eastAsia="仿宋" w:cs="仿宋"/>
          <w:sz w:val="28"/>
          <w:szCs w:val="28"/>
        </w:rPr>
      </w:pPr>
      <w:bookmarkStart w:id="10" w:name="bm_5_4_售后服务"/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5.4 售后服务</w:t>
      </w:r>
      <w:bookmarkEnd w:id="10"/>
    </w:p>
    <w:p w14:paraId="1AE3B9A2">
      <w:pPr>
        <w:numPr>
          <w:ilvl w:val="0"/>
          <w:numId w:val="5"/>
        </w:numPr>
        <w:spacing w:before="105" w:after="105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整机质保期</w:t>
      </w:r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1年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，自最终验收合格之日起计算。</w:t>
      </w:r>
    </w:p>
    <w:p w14:paraId="2D554C1A">
      <w:pPr>
        <w:numPr>
          <w:ilvl w:val="0"/>
          <w:numId w:val="5"/>
        </w:numPr>
        <w:spacing w:before="105" w:after="105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质保期内，供应商应提供免费远程技术支持、故障诊断及软件环境基础支持。</w:t>
      </w:r>
    </w:p>
    <w:p w14:paraId="3C554987">
      <w:pPr>
        <w:numPr>
          <w:ilvl w:val="0"/>
          <w:numId w:val="5"/>
        </w:numPr>
        <w:spacing w:before="105" w:after="105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发生故障后，供应商应在 </w:t>
      </w:r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4 小时内响应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，在12</w:t>
      </w:r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小时内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提出处理方案；需现场服务的，应在 </w:t>
      </w:r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24 小时内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到达现场或按采购人所在地的服务响应要求执行。</w:t>
      </w:r>
    </w:p>
    <w:p w14:paraId="5B306C13">
      <w:pPr>
        <w:numPr>
          <w:ilvl w:val="0"/>
          <w:numId w:val="5"/>
        </w:numPr>
        <w:spacing w:before="105" w:after="105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质保期内因产品质量问题造成的维修、更换部件、物流及人工费用均由供应商承担。</w:t>
      </w:r>
    </w:p>
    <w:p w14:paraId="4B9EE063">
      <w:pPr>
        <w:numPr>
          <w:ilvl w:val="0"/>
          <w:numId w:val="5"/>
        </w:numPr>
        <w:spacing w:before="105" w:after="105" w:line="360" w:lineRule="auto"/>
        <w:rPr>
          <w:rFonts w:hint="eastAsia" w:ascii="仿宋" w:hAnsi="仿宋" w:eastAsia="仿宋" w:cs="仿宋"/>
          <w:sz w:val="28"/>
          <w:szCs w:val="28"/>
        </w:rPr>
      </w:pPr>
      <w:bookmarkStart w:id="11" w:name="OLE_LINK1"/>
      <w:r>
        <w:rPr>
          <w:rFonts w:hint="eastAsia" w:ascii="仿宋" w:hAnsi="仿宋" w:eastAsia="仿宋" w:cs="仿宋"/>
          <w:color w:val="000000"/>
          <w:sz w:val="28"/>
          <w:szCs w:val="28"/>
        </w:rPr>
        <w:t>供应商应提供明确的售后服务联系人、联系电话、电子邮箱，售后服务人员具备原厂认证的工程师</w:t>
      </w:r>
      <w:bookmarkStart w:id="12" w:name="六_验收要求"/>
      <w:r>
        <w:rPr>
          <w:rFonts w:hint="eastAsia" w:ascii="仿宋" w:hAnsi="仿宋" w:eastAsia="仿宋" w:cs="仿宋"/>
          <w:color w:val="000000"/>
          <w:sz w:val="28"/>
          <w:szCs w:val="28"/>
        </w:rPr>
        <w:t>资质，售后需提供资质证明及本人在本单位的任职证明。</w:t>
      </w:r>
    </w:p>
    <w:bookmarkEnd w:id="11"/>
    <w:p w14:paraId="4EADCBF8">
      <w:pPr>
        <w:spacing w:before="315" w:after="105" w:line="360" w:lineRule="auto"/>
        <w:ind w:left="-39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六、验收要求</w:t>
      </w:r>
      <w:bookmarkEnd w:id="12"/>
    </w:p>
    <w:p w14:paraId="0224C575">
      <w:pPr>
        <w:spacing w:before="315" w:after="105" w:line="360" w:lineRule="auto"/>
        <w:ind w:left="-30"/>
        <w:rPr>
          <w:rFonts w:hint="eastAsia" w:ascii="仿宋" w:hAnsi="仿宋" w:eastAsia="仿宋" w:cs="仿宋"/>
          <w:b/>
          <w:color w:val="000000"/>
          <w:sz w:val="28"/>
          <w:szCs w:val="28"/>
        </w:rPr>
      </w:pPr>
      <w:bookmarkStart w:id="13" w:name="bm_6_1_验收依据"/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6.1 验收依据</w:t>
      </w:r>
      <w:bookmarkEnd w:id="13"/>
    </w:p>
    <w:p w14:paraId="755D22C2">
      <w:pPr>
        <w:spacing w:after="210" w:line="360" w:lineRule="auto"/>
        <w:ind w:left="0" w:leftChars="0" w:firstLine="638" w:firstLineChars="228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验收应以采购合同、采购文件、成交供应商响应文件、供货清单、产品说明书及双方确认的技术资料为依据。</w:t>
      </w:r>
    </w:p>
    <w:p w14:paraId="110B5DD9">
      <w:pPr>
        <w:spacing w:before="315" w:after="105" w:line="360" w:lineRule="auto"/>
        <w:ind w:left="-30"/>
        <w:rPr>
          <w:rFonts w:hint="eastAsia" w:ascii="仿宋" w:hAnsi="仿宋" w:eastAsia="仿宋" w:cs="仿宋"/>
          <w:sz w:val="28"/>
          <w:szCs w:val="28"/>
        </w:rPr>
      </w:pPr>
      <w:bookmarkStart w:id="14" w:name="bm_6_2_验收内容"/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6.2 验收内容</w:t>
      </w:r>
      <w:bookmarkEnd w:id="14"/>
    </w:p>
    <w:tbl>
      <w:tblPr>
        <w:tblStyle w:val="8"/>
        <w:tblW w:w="9726" w:type="dxa"/>
        <w:jc w:val="center"/>
        <w:tblCellSpacing w:w="0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80" w:type="dxa"/>
          <w:left w:w="160" w:type="dxa"/>
          <w:bottom w:w="80" w:type="dxa"/>
          <w:right w:w="160" w:type="dxa"/>
        </w:tblCellMar>
      </w:tblPr>
      <w:tblGrid>
        <w:gridCol w:w="839"/>
        <w:gridCol w:w="1682"/>
        <w:gridCol w:w="7205"/>
      </w:tblGrid>
      <w:tr w14:paraId="4307C7E5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771" w:hRule="atLeast"/>
          <w:tblHeader/>
          <w:tblCellSpacing w:w="0" w:type="dxa"/>
          <w:jc w:val="center"/>
        </w:trPr>
        <w:tc>
          <w:tcPr>
            <w:tcW w:w="839" w:type="dxa"/>
            <w:tcBorders>
              <w:top w:val="single" w:color="000000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1BFA9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682" w:type="dxa"/>
            <w:tcBorders>
              <w:top w:val="single" w:color="000000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68510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验收项目</w:t>
            </w:r>
          </w:p>
        </w:tc>
        <w:tc>
          <w:tcPr>
            <w:tcW w:w="7205" w:type="dxa"/>
            <w:tcBorders>
              <w:top w:val="single" w:color="000000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F8ACB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验收要求</w:t>
            </w:r>
          </w:p>
        </w:tc>
      </w:tr>
      <w:tr w14:paraId="17A0DECF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839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8C71F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FDA99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包装及外观</w:t>
            </w:r>
          </w:p>
        </w:tc>
        <w:tc>
          <w:tcPr>
            <w:tcW w:w="7205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5ECB0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包装完整，设备无破损、划伤、变形、污染及影响使用的缺陷。</w:t>
            </w:r>
          </w:p>
        </w:tc>
      </w:tr>
      <w:tr w14:paraId="0093DA4B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839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90754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F0FD7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品牌型号</w:t>
            </w:r>
          </w:p>
        </w:tc>
        <w:tc>
          <w:tcPr>
            <w:tcW w:w="7205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3886A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与合同、响应文件及供货清单一致。</w:t>
            </w:r>
          </w:p>
        </w:tc>
      </w:tr>
      <w:tr w14:paraId="7855F6F4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839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2A263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09FEC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配置核验</w:t>
            </w:r>
          </w:p>
        </w:tc>
        <w:tc>
          <w:tcPr>
            <w:tcW w:w="7205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80E17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CPU、GPU、统一内存、存储、网络、接口及操作系统配置满足采购需求。</w:t>
            </w:r>
          </w:p>
        </w:tc>
      </w:tr>
      <w:tr w14:paraId="55E1438B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839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EFEA5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FE2DF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系统启动</w:t>
            </w:r>
          </w:p>
        </w:tc>
        <w:tc>
          <w:tcPr>
            <w:tcW w:w="7205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369AE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可正常开机并进入预装操作系统。</w:t>
            </w:r>
          </w:p>
        </w:tc>
      </w:tr>
      <w:tr w14:paraId="0707F619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839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E90B2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5EBBD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网络测试</w:t>
            </w:r>
          </w:p>
        </w:tc>
        <w:tc>
          <w:tcPr>
            <w:tcW w:w="7205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587ED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10GbE 有线网络接口识别正常，具备网络连通能力。</w:t>
            </w:r>
          </w:p>
        </w:tc>
      </w:tr>
      <w:tr w14:paraId="2679D777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839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78E2B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9D705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AI 环境</w:t>
            </w:r>
          </w:p>
        </w:tc>
        <w:tc>
          <w:tcPr>
            <w:tcW w:w="7205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EAF9B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至少一个 AI 开发或推理框架可正常运行。</w:t>
            </w:r>
          </w:p>
        </w:tc>
      </w:tr>
      <w:tr w14:paraId="7286E186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839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4BB3B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3B4CC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推理测试</w:t>
            </w:r>
          </w:p>
        </w:tc>
        <w:tc>
          <w:tcPr>
            <w:tcW w:w="7205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FC3B98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完成约定测试模型的加载和基础推理，设备运行稳定，无影响使用的异常。</w:t>
            </w:r>
          </w:p>
        </w:tc>
      </w:tr>
      <w:tr w14:paraId="438A6DB0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839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86D16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1D5DA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文档资料</w:t>
            </w:r>
          </w:p>
        </w:tc>
        <w:tc>
          <w:tcPr>
            <w:tcW w:w="7205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9D95D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装箱单、序列号、使用手册齐全。</w:t>
            </w:r>
          </w:p>
        </w:tc>
      </w:tr>
      <w:tr w14:paraId="327AD590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839" w:type="dxa"/>
            <w:tcBorders>
              <w:top w:val="single" w:color="000000" w:sz="4" w:space="0"/>
              <w:left w:val="single" w:color="auto" w:sz="12" w:space="0"/>
              <w:bottom w:val="single" w:color="000000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9EDA3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auto" w:sz="4" w:space="0"/>
              <w:bottom w:val="single" w:color="000000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25812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培训服务</w:t>
            </w:r>
          </w:p>
        </w:tc>
        <w:tc>
          <w:tcPr>
            <w:tcW w:w="7205" w:type="dxa"/>
            <w:tcBorders>
              <w:top w:val="single" w:color="000000" w:sz="4" w:space="0"/>
              <w:left w:val="single" w:color="auto" w:sz="4" w:space="0"/>
              <w:bottom w:val="single" w:color="000000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D8E94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完成合同约定的培训，并提交培训记录或签到材料。</w:t>
            </w:r>
          </w:p>
        </w:tc>
      </w:tr>
    </w:tbl>
    <w:p w14:paraId="2D5FBDB2">
      <w:pPr>
        <w:rPr>
          <w:rFonts w:hint="eastAsia" w:ascii="仿宋" w:hAnsi="仿宋" w:eastAsia="仿宋" w:cs="仿宋"/>
        </w:rPr>
      </w:pPr>
    </w:p>
    <w:p w14:paraId="4CFD1AF9">
      <w:pPr>
        <w:spacing w:before="315" w:after="105" w:line="360" w:lineRule="auto"/>
        <w:ind w:left="-30"/>
        <w:rPr>
          <w:rFonts w:hint="eastAsia" w:ascii="仿宋" w:hAnsi="仿宋" w:eastAsia="仿宋" w:cs="仿宋"/>
          <w:sz w:val="28"/>
          <w:szCs w:val="28"/>
        </w:rPr>
      </w:pPr>
      <w:bookmarkStart w:id="15" w:name="bm_6_3_验收结论"/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6.3 验收结论</w:t>
      </w:r>
      <w:bookmarkEnd w:id="15"/>
    </w:p>
    <w:p w14:paraId="25009CF9">
      <w:pPr>
        <w:numPr>
          <w:ilvl w:val="0"/>
          <w:numId w:val="6"/>
        </w:numPr>
        <w:spacing w:before="105" w:after="105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全部验收项目符合要求的，验收结论为“合格”。</w:t>
      </w:r>
    </w:p>
    <w:p w14:paraId="2392C01F">
      <w:pPr>
        <w:numPr>
          <w:ilvl w:val="0"/>
          <w:numId w:val="6"/>
        </w:numPr>
        <w:spacing w:before="105" w:after="105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验收中发现设备型号、配置、数量或服务内容不符合合同约定的，采购人有权要求供应商限期整改、更换或补足。</w:t>
      </w:r>
    </w:p>
    <w:p w14:paraId="4FE11990">
      <w:pPr>
        <w:numPr>
          <w:ilvl w:val="0"/>
          <w:numId w:val="6"/>
        </w:numPr>
        <w:spacing w:before="105" w:after="105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供应商未在约定期限内完成整改或整改后仍不符合要求的，采购人有权依据合同及政府采购有关规定追究违约责任。</w:t>
      </w:r>
    </w:p>
    <w:p w14:paraId="34158880">
      <w:pPr>
        <w:numPr>
          <w:numId w:val="0"/>
        </w:numPr>
        <w:spacing w:before="105" w:after="105" w:line="360" w:lineRule="auto"/>
        <w:ind w:left="180" w:leftChars="0"/>
        <w:rPr>
          <w:rFonts w:hint="eastAsia" w:ascii="仿宋" w:hAnsi="仿宋" w:eastAsia="仿宋" w:cs="仿宋"/>
        </w:rPr>
      </w:pPr>
    </w:p>
    <w:p w14:paraId="099E7AEA">
      <w:pPr>
        <w:spacing w:before="315" w:after="105" w:line="360" w:lineRule="auto"/>
        <w:ind w:left="-30"/>
        <w:rPr>
          <w:rFonts w:hint="eastAsia" w:ascii="仿宋" w:hAnsi="仿宋" w:eastAsia="仿宋" w:cs="仿宋"/>
          <w:sz w:val="28"/>
          <w:szCs w:val="28"/>
        </w:rPr>
      </w:pPr>
      <w:bookmarkStart w:id="16" w:name="七_商务要求"/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七、商务要求</w:t>
      </w:r>
      <w:bookmarkEnd w:id="16"/>
    </w:p>
    <w:tbl>
      <w:tblPr>
        <w:tblStyle w:val="8"/>
        <w:tblW w:w="9726" w:type="dxa"/>
        <w:jc w:val="center"/>
        <w:tblCellSpacing w:w="0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80" w:type="dxa"/>
          <w:left w:w="160" w:type="dxa"/>
          <w:bottom w:w="80" w:type="dxa"/>
          <w:right w:w="160" w:type="dxa"/>
        </w:tblCellMar>
      </w:tblPr>
      <w:tblGrid>
        <w:gridCol w:w="885"/>
        <w:gridCol w:w="1833"/>
        <w:gridCol w:w="7008"/>
      </w:tblGrid>
      <w:tr w14:paraId="08C587F4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Header/>
          <w:tblCellSpacing w:w="0" w:type="dxa"/>
          <w:jc w:val="center"/>
        </w:trPr>
        <w:tc>
          <w:tcPr>
            <w:tcW w:w="885" w:type="dxa"/>
            <w:tcBorders>
              <w:top w:val="single" w:color="000000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DE0F1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833" w:type="dxa"/>
            <w:tcBorders>
              <w:top w:val="single" w:color="000000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F4D18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项目</w:t>
            </w:r>
          </w:p>
        </w:tc>
        <w:tc>
          <w:tcPr>
            <w:tcW w:w="7008" w:type="dxa"/>
            <w:tcBorders>
              <w:top w:val="single" w:color="000000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16CD0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要求</w:t>
            </w:r>
          </w:p>
        </w:tc>
      </w:tr>
      <w:tr w14:paraId="13086A32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FD446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35F61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报价方式</w:t>
            </w:r>
          </w:p>
        </w:tc>
        <w:tc>
          <w:tcPr>
            <w:tcW w:w="7008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2DAB1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报价应为含税全包价，包括设备、配件、运输、保险、安装、调试、培训、质保、售后及完成本项目所需全部费用。</w:t>
            </w:r>
          </w:p>
        </w:tc>
      </w:tr>
      <w:tr w14:paraId="556054DD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DEAA6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3CDC2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付款方式</w:t>
            </w:r>
          </w:p>
        </w:tc>
        <w:tc>
          <w:tcPr>
            <w:tcW w:w="7008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D6CC1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验收合格后支付合同款的 100%。</w:t>
            </w:r>
          </w:p>
        </w:tc>
      </w:tr>
      <w:tr w14:paraId="3F1F5030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A4793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CA8E5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交货期限</w:t>
            </w:r>
          </w:p>
        </w:tc>
        <w:tc>
          <w:tcPr>
            <w:tcW w:w="7008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C3805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合同签订后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日历日内完成供货、安装调试并具备验收条件。</w:t>
            </w:r>
          </w:p>
        </w:tc>
      </w:tr>
      <w:tr w14:paraId="79BF26EF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541F5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427D7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履约地点</w:t>
            </w:r>
          </w:p>
        </w:tc>
        <w:tc>
          <w:tcPr>
            <w:tcW w:w="7008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D4B8B8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  <w:t>上海市徐汇区漕宝路121号</w:t>
            </w:r>
          </w:p>
        </w:tc>
      </w:tr>
      <w:tr w14:paraId="765636F7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45929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1576C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知识产权</w:t>
            </w:r>
          </w:p>
        </w:tc>
        <w:tc>
          <w:tcPr>
            <w:tcW w:w="7008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79CA6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供应商应保证所供产品及软件不存在知识产权纠纷；如发生纠纷，由供应商承担全部责任。</w:t>
            </w:r>
          </w:p>
        </w:tc>
      </w:tr>
      <w:tr w14:paraId="262400E7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879D5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ACC76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保密要求</w:t>
            </w:r>
          </w:p>
        </w:tc>
        <w:tc>
          <w:tcPr>
            <w:tcW w:w="7008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69E93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供应商在实施和服务过程中接触采购人数据、网络或业务信息的，应承担相应保密义务。</w:t>
            </w:r>
          </w:p>
        </w:tc>
      </w:tr>
      <w:tr w14:paraId="4FCD02B4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auto" w:sz="12" w:space="0"/>
              <w:bottom w:val="single" w:color="000000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435A4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auto" w:sz="4" w:space="0"/>
              <w:bottom w:val="single" w:color="000000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EC71F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违约责任</w:t>
            </w:r>
          </w:p>
        </w:tc>
        <w:tc>
          <w:tcPr>
            <w:tcW w:w="7008" w:type="dxa"/>
            <w:tcBorders>
              <w:top w:val="single" w:color="000000" w:sz="4" w:space="0"/>
              <w:left w:val="single" w:color="auto" w:sz="4" w:space="0"/>
              <w:bottom w:val="single" w:color="000000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DD3F2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按合同约定及政府采购相关法律法规执行。</w:t>
            </w:r>
          </w:p>
        </w:tc>
      </w:tr>
    </w:tbl>
    <w:p w14:paraId="06ED8225">
      <w:pPr>
        <w:spacing w:after="210" w:line="360" w:lineRule="auto"/>
        <w:rPr>
          <w:rFonts w:hint="eastAsia" w:ascii="仿宋" w:hAnsi="仿宋" w:eastAsia="仿宋" w:cs="仿宋"/>
        </w:rPr>
      </w:pPr>
    </w:p>
    <w:sectPr>
      <w:pgSz w:w="12240" w:h="15840"/>
      <w:pgMar w:top="1365" w:right="1365" w:bottom="1365" w:left="1365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source serif 4">
    <w:altName w:val="Cambria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ource sans 3">
    <w:altName w:val="Cambria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1010AF"/>
    <w:multiLevelType w:val="multilevel"/>
    <w:tmpl w:val="0B1010AF"/>
    <w:lvl w:ilvl="0" w:tentative="0">
      <w:start w:val="1"/>
      <w:numFmt w:val="bullet"/>
      <w:lvlText w:val=""/>
      <w:lvlJc w:val="left"/>
      <w:pPr>
        <w:tabs>
          <w:tab w:val="left" w:pos="900"/>
        </w:tabs>
        <w:ind w:left="54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5C6901CC"/>
    <w:multiLevelType w:val="multilevel"/>
    <w:tmpl w:val="5C6901CC"/>
    <w:lvl w:ilvl="0" w:tentative="0">
      <w:start w:val="1"/>
      <w:numFmt w:val="decimal"/>
      <w:lvlText w:val="%1."/>
      <w:lvlJc w:val="left"/>
      <w:pPr>
        <w:tabs>
          <w:tab w:val="left" w:pos="900"/>
        </w:tabs>
        <w:ind w:left="54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63340D1E"/>
    <w:multiLevelType w:val="multilevel"/>
    <w:tmpl w:val="63340D1E"/>
    <w:lvl w:ilvl="0" w:tentative="0">
      <w:start w:val="1"/>
      <w:numFmt w:val="decimal"/>
      <w:lvlText w:val="%1."/>
      <w:lvlJc w:val="left"/>
      <w:pPr>
        <w:tabs>
          <w:tab w:val="left" w:pos="900"/>
        </w:tabs>
        <w:ind w:left="54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681C5143"/>
    <w:multiLevelType w:val="multilevel"/>
    <w:tmpl w:val="681C5143"/>
    <w:lvl w:ilvl="0" w:tentative="0">
      <w:start w:val="1"/>
      <w:numFmt w:val="decimal"/>
      <w:lvlText w:val="%1."/>
      <w:lvlJc w:val="left"/>
      <w:pPr>
        <w:tabs>
          <w:tab w:val="left" w:pos="900"/>
        </w:tabs>
        <w:ind w:left="54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797E280C"/>
    <w:multiLevelType w:val="singleLevel"/>
    <w:tmpl w:val="797E280C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7EAD7C5F"/>
    <w:multiLevelType w:val="multilevel"/>
    <w:tmpl w:val="7EAD7C5F"/>
    <w:lvl w:ilvl="0" w:tentative="0">
      <w:start w:val="1"/>
      <w:numFmt w:val="bullet"/>
      <w:lvlText w:val=""/>
      <w:lvlJc w:val="left"/>
      <w:pPr>
        <w:tabs>
          <w:tab w:val="left" w:pos="900"/>
        </w:tabs>
        <w:ind w:left="54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FD"/>
    <w:rsid w:val="000018FD"/>
    <w:rsid w:val="00023B76"/>
    <w:rsid w:val="000311C1"/>
    <w:rsid w:val="00035E13"/>
    <w:rsid w:val="00035ECD"/>
    <w:rsid w:val="00044385"/>
    <w:rsid w:val="00071142"/>
    <w:rsid w:val="000B3899"/>
    <w:rsid w:val="0017487D"/>
    <w:rsid w:val="0019048A"/>
    <w:rsid w:val="00206DA5"/>
    <w:rsid w:val="00210EF1"/>
    <w:rsid w:val="00233725"/>
    <w:rsid w:val="00246D94"/>
    <w:rsid w:val="0026705F"/>
    <w:rsid w:val="002E774B"/>
    <w:rsid w:val="002F127C"/>
    <w:rsid w:val="003238AF"/>
    <w:rsid w:val="00360187"/>
    <w:rsid w:val="004272BC"/>
    <w:rsid w:val="00456007"/>
    <w:rsid w:val="004D6264"/>
    <w:rsid w:val="00577826"/>
    <w:rsid w:val="005A5E61"/>
    <w:rsid w:val="005D7B46"/>
    <w:rsid w:val="005E67E0"/>
    <w:rsid w:val="006334DD"/>
    <w:rsid w:val="006533D7"/>
    <w:rsid w:val="006644F4"/>
    <w:rsid w:val="00667934"/>
    <w:rsid w:val="00690CC4"/>
    <w:rsid w:val="00734C4B"/>
    <w:rsid w:val="00780DFD"/>
    <w:rsid w:val="00784B9C"/>
    <w:rsid w:val="007E5EF1"/>
    <w:rsid w:val="007F46C2"/>
    <w:rsid w:val="0086567B"/>
    <w:rsid w:val="008861B2"/>
    <w:rsid w:val="008D5E1B"/>
    <w:rsid w:val="008E01AA"/>
    <w:rsid w:val="008F24CE"/>
    <w:rsid w:val="00984686"/>
    <w:rsid w:val="009A13FD"/>
    <w:rsid w:val="009A6C53"/>
    <w:rsid w:val="009C2D06"/>
    <w:rsid w:val="009E1DA9"/>
    <w:rsid w:val="009F720F"/>
    <w:rsid w:val="00A06492"/>
    <w:rsid w:val="00A20F6A"/>
    <w:rsid w:val="00A652FD"/>
    <w:rsid w:val="00A906FE"/>
    <w:rsid w:val="00AB4ADD"/>
    <w:rsid w:val="00B11BC3"/>
    <w:rsid w:val="00B3285C"/>
    <w:rsid w:val="00B55DFF"/>
    <w:rsid w:val="00B81F87"/>
    <w:rsid w:val="00BA6BF6"/>
    <w:rsid w:val="00C56C07"/>
    <w:rsid w:val="00C905ED"/>
    <w:rsid w:val="00CD0C70"/>
    <w:rsid w:val="00D0041B"/>
    <w:rsid w:val="00D0560F"/>
    <w:rsid w:val="00D62B75"/>
    <w:rsid w:val="00DB5E49"/>
    <w:rsid w:val="00DC7F2E"/>
    <w:rsid w:val="00DD4796"/>
    <w:rsid w:val="00DD78AF"/>
    <w:rsid w:val="00DE5621"/>
    <w:rsid w:val="00DE75D2"/>
    <w:rsid w:val="00E9085F"/>
    <w:rsid w:val="00E92362"/>
    <w:rsid w:val="00E94356"/>
    <w:rsid w:val="00EC2381"/>
    <w:rsid w:val="00F5413E"/>
    <w:rsid w:val="00F81473"/>
    <w:rsid w:val="00FB7F5F"/>
    <w:rsid w:val="5AFFC45F"/>
    <w:rsid w:val="76EA350E"/>
    <w:rsid w:val="7F5FC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Georgia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40" w:lineRule="atLeast"/>
    </w:pPr>
    <w:rPr>
      <w:rFonts w:ascii="Georgia" w:hAnsiTheme="minorHAnsi" w:eastAsiaTheme="minorHAnsi" w:cstheme="minorBidi"/>
      <w:sz w:val="21"/>
      <w:szCs w:val="22"/>
      <w:lang w:val="zh-CN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FollowedHyperlink"/>
    <w:basedOn w:val="4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Hyperlink"/>
    <w:basedOn w:val="4"/>
    <w:unhideWhenUsed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Verbatim Char"/>
    <w:qFormat/>
    <w:uiPriority w:val="0"/>
    <w:rPr>
      <w:rFonts w:ascii="Consolas" w:hAnsi="Consolas"/>
      <w:sz w:val="22"/>
    </w:rPr>
  </w:style>
  <w:style w:type="table" w:customStyle="1" w:styleId="8">
    <w:name w:val="Normal Grid"/>
    <w:basedOn w:val="2"/>
    <w:qFormat/>
    <w:uiPriority w:val="39"/>
    <w:tblPr>
      <w:tblCellMar>
        <w:top w:w="80" w:type="dxa"/>
        <w:left w:w="160" w:type="dxa"/>
        <w:bottom w:w="80" w:type="dxa"/>
        <w:right w:w="160" w:type="dxa"/>
      </w:tblCellMar>
    </w:tblPr>
  </w:style>
  <w:style w:type="character" w:customStyle="1" w:styleId="9">
    <w:name w:val="Unresolved Mention"/>
    <w:basedOn w:val="4"/>
    <w:semiHidden/>
    <w:unhideWhenUsed/>
    <w:qFormat/>
    <w:uiPriority w:val="99"/>
    <w:rPr>
      <w:color w:val="605E5C"/>
      <w:shd w:val="clear" w:color="auto" w:fill="E1DFDD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560</Words>
  <Characters>764</Characters>
  <Lines>18</Lines>
  <Paragraphs>5</Paragraphs>
  <TotalTime>36</TotalTime>
  <ScaleCrop>false</ScaleCrop>
  <LinksUpToDate>false</LinksUpToDate>
  <CharactersWithSpaces>821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2026-08-19T13:13:00Z</dcterms:created>
  <dc:creator>html-to-docx</dc:creator>
  <cp:keywords>html-to-docx</cp:keywords>
  <cp:lastModifiedBy>皓子大人吉祥</cp:lastModifiedBy>
  <dcterms:modified xsi:type="dcterms:W3CDTF">2026-08-20T09:04:02Z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3A4D82C5D159A44B4858826AA35A179B_43</vt:lpwstr>
  </property>
  <property fmtid="{D5CDD505-2E9C-101B-9397-08002B2CF9AE}" pid="4" name="KSOTemplateDocerSaveRecord">
    <vt:lpwstr>eyJoZGlkIjoiMWYwMzM0ZjZkZmI2OGFiNzZjNDczNTIxNmZlNzRmZGIiLCJ1c2VySWQiOiIxMDg1NzUwNzQ4In0=</vt:lpwstr>
  </property>
</Properties>
</file>