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0B483">
      <w:pPr>
        <w:widowControl/>
        <w:jc w:val="center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教学项目全生命周期数字化管理平台采购需求</w:t>
      </w:r>
    </w:p>
    <w:p w14:paraId="12800A6A">
      <w:pPr>
        <w:widowControl/>
        <w:rPr>
          <w:rFonts w:cs="宋体"/>
          <w:b/>
          <w:color w:val="000000"/>
          <w:kern w:val="0"/>
          <w:szCs w:val="21"/>
        </w:rPr>
      </w:pPr>
    </w:p>
    <w:p w14:paraId="416DFABC">
      <w:pPr>
        <w:widowControl/>
        <w:spacing w:line="276" w:lineRule="auto"/>
        <w:rPr>
          <w:rFonts w:cs="宋体"/>
          <w:b/>
          <w:color w:val="000000"/>
          <w:kern w:val="0"/>
          <w:sz w:val="24"/>
        </w:rPr>
      </w:pPr>
      <w:r>
        <w:rPr>
          <w:rFonts w:hint="eastAsia" w:cs="宋体"/>
          <w:b/>
          <w:color w:val="000000"/>
          <w:kern w:val="0"/>
          <w:sz w:val="24"/>
        </w:rPr>
        <w:t>一、采购项目概况</w:t>
      </w:r>
    </w:p>
    <w:p w14:paraId="14489514">
      <w:pPr>
        <w:pStyle w:val="7"/>
        <w:widowControl/>
        <w:numPr>
          <w:numId w:val="0"/>
        </w:numPr>
        <w:spacing w:line="276" w:lineRule="auto"/>
        <w:ind w:leftChars="0"/>
        <w:rPr>
          <w:rFonts w:ascii="Times New Roman" w:hAnsi="Times New Roman" w:eastAsia="宋体" w:cs="宋体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  <w:lang w:val="en-US" w:eastAsia="zh-CN"/>
        </w:rPr>
        <w:t>1.</w:t>
      </w: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</w:rPr>
        <w:t>项目名称：教学项目全生命周期数字化管理平台</w:t>
      </w:r>
    </w:p>
    <w:p w14:paraId="23B8C356">
      <w:pPr>
        <w:widowControl/>
        <w:spacing w:line="276" w:lineRule="auto"/>
        <w:ind w:left="240" w:hanging="240" w:hangingChars="100"/>
        <w:rPr>
          <w:rFonts w:ascii="Times New Roman" w:hAnsi="Times New Roman" w:eastAsia="宋体" w:cs="宋体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  <w:lang w:val="en-US" w:eastAsia="zh-CN"/>
        </w:rPr>
        <w:t>2.项目</w:t>
      </w: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</w:rPr>
        <w:t>内容：</w:t>
      </w: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  <w:lang w:val="en-US" w:eastAsia="zh-CN"/>
        </w:rPr>
        <w:t>本项目通过部署低代码底座，实现异构数据同步与多维可视化分析能力，打造一个可灵活自定义、支持办公软件无缝交互的教学项目全生命周期数字化管理体系。</w:t>
      </w:r>
      <w:r>
        <w:rPr>
          <w:rFonts w:hint="eastAsia" w:cs="宋体"/>
          <w:b/>
          <w:bCs/>
          <w:color w:val="FF0000"/>
          <w:kern w:val="0"/>
          <w:sz w:val="24"/>
          <w:lang w:val="en-US" w:eastAsia="zh-CN"/>
        </w:rPr>
        <w:t>详见附件</w:t>
      </w:r>
    </w:p>
    <w:p w14:paraId="13EDFF63">
      <w:pPr>
        <w:pStyle w:val="7"/>
        <w:widowControl/>
        <w:numPr>
          <w:numId w:val="0"/>
        </w:numPr>
        <w:spacing w:line="276" w:lineRule="auto"/>
        <w:ind w:leftChars="0"/>
        <w:rPr>
          <w:rFonts w:ascii="Times New Roman" w:hAnsi="Times New Roman" w:eastAsia="宋体" w:cs="宋体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  <w:lang w:val="en-US" w:eastAsia="zh-CN"/>
        </w:rPr>
        <w:t>3.安装</w:t>
      </w: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</w:rPr>
        <w:t>地点：</w:t>
      </w: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  <w:lang w:val="en-US" w:eastAsia="zh-CN"/>
        </w:rPr>
        <w:t>上海商学院奉浦校区</w:t>
      </w:r>
    </w:p>
    <w:p w14:paraId="245A4C5C">
      <w:pPr>
        <w:pStyle w:val="7"/>
        <w:widowControl/>
        <w:numPr>
          <w:numId w:val="0"/>
        </w:numPr>
        <w:spacing w:line="276" w:lineRule="auto"/>
        <w:ind w:leftChars="0"/>
        <w:rPr>
          <w:rFonts w:cs="宋体"/>
          <w:color w:val="000000"/>
          <w:kern w:val="0"/>
          <w:sz w:val="24"/>
        </w:rPr>
      </w:pP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  <w:lang w:val="en-US" w:eastAsia="zh-CN"/>
        </w:rPr>
        <w:t>4.</w:t>
      </w:r>
      <w:r>
        <w:rPr>
          <w:rFonts w:ascii="Times New Roman" w:hAnsi="Times New Roman" w:eastAsia="宋体" w:cs="宋体"/>
          <w:color w:val="000000"/>
          <w:kern w:val="0"/>
          <w:sz w:val="24"/>
          <w:szCs w:val="24"/>
        </w:rPr>
        <w:t>预算金额：</w:t>
      </w: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  <w:lang w:val="en-US" w:eastAsia="zh-CN"/>
        </w:rPr>
        <w:t>8.9</w:t>
      </w:r>
      <w:r>
        <w:rPr>
          <w:rFonts w:ascii="Times New Roman" w:hAnsi="Times New Roman" w:eastAsia="宋体" w:cs="宋体"/>
          <w:color w:val="000000"/>
          <w:kern w:val="0"/>
          <w:sz w:val="24"/>
          <w:szCs w:val="24"/>
        </w:rPr>
        <w:t>万元</w:t>
      </w:r>
    </w:p>
    <w:p w14:paraId="54F2CB90">
      <w:pPr>
        <w:widowControl/>
        <w:spacing w:line="276" w:lineRule="auto"/>
        <w:rPr>
          <w:rFonts w:cs="宋体"/>
          <w:b/>
          <w:color w:val="000000"/>
          <w:kern w:val="0"/>
          <w:sz w:val="24"/>
        </w:rPr>
      </w:pPr>
      <w:r>
        <w:rPr>
          <w:rFonts w:hint="eastAsia" w:cs="宋体"/>
          <w:b/>
          <w:color w:val="000000"/>
          <w:kern w:val="0"/>
          <w:sz w:val="24"/>
        </w:rPr>
        <w:t>二、采购</w:t>
      </w:r>
      <w:r>
        <w:rPr>
          <w:rFonts w:cs="宋体"/>
          <w:b/>
          <w:color w:val="000000"/>
          <w:kern w:val="0"/>
          <w:sz w:val="24"/>
        </w:rPr>
        <w:t>项目</w:t>
      </w:r>
      <w:r>
        <w:rPr>
          <w:rFonts w:hint="eastAsia" w:cs="宋体"/>
          <w:b/>
          <w:color w:val="000000"/>
          <w:kern w:val="0"/>
          <w:sz w:val="24"/>
        </w:rPr>
        <w:t>要求</w:t>
      </w:r>
    </w:p>
    <w:p w14:paraId="7245A3FC">
      <w:pPr>
        <w:pStyle w:val="7"/>
        <w:widowControl/>
        <w:numPr>
          <w:ilvl w:val="0"/>
          <w:numId w:val="1"/>
        </w:numPr>
        <w:spacing w:line="276" w:lineRule="auto"/>
        <w:ind w:firstLineChars="0"/>
        <w:rPr>
          <w:rFonts w:ascii="Times New Roman" w:hAnsi="Times New Roman" w:eastAsia="宋体" w:cs="宋体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</w:rPr>
        <w:t>验收要求、付款方式；</w:t>
      </w:r>
    </w:p>
    <w:p w14:paraId="62B0E647">
      <w:pPr>
        <w:pStyle w:val="7"/>
        <w:widowControl/>
        <w:numPr>
          <w:numId w:val="0"/>
        </w:numPr>
        <w:spacing w:line="276" w:lineRule="auto"/>
        <w:ind w:leftChars="0" w:firstLine="480" w:firstLineChars="200"/>
        <w:rPr>
          <w:rFonts w:ascii="Times New Roman" w:hAnsi="Times New Roman" w:eastAsia="宋体" w:cs="宋体"/>
          <w:color w:val="000000"/>
          <w:kern w:val="0"/>
          <w:sz w:val="24"/>
          <w:szCs w:val="24"/>
        </w:rPr>
      </w:pPr>
      <w:r>
        <w:rPr>
          <w:rFonts w:hint="eastAsia" w:cs="宋体" w:asciiTheme="minorHAnsi" w:hAnsiTheme="minorHAnsi" w:eastAsiaTheme="minorEastAsia"/>
          <w:color w:val="000000"/>
          <w:kern w:val="0"/>
          <w:sz w:val="24"/>
          <w:szCs w:val="24"/>
          <w:lang w:val="en-US" w:eastAsia="zh-CN" w:bidi="ar-SA"/>
        </w:rPr>
        <w:t>验收合格后一次性支付合同的总金额。</w:t>
      </w:r>
    </w:p>
    <w:p w14:paraId="7BDFDE0E">
      <w:pPr>
        <w:pStyle w:val="7"/>
        <w:widowControl/>
        <w:numPr>
          <w:ilvl w:val="0"/>
          <w:numId w:val="1"/>
        </w:numPr>
        <w:spacing w:line="276" w:lineRule="auto"/>
        <w:ind w:firstLineChars="0"/>
        <w:rPr>
          <w:rFonts w:ascii="Times New Roman" w:hAnsi="Times New Roman" w:eastAsia="宋体" w:cs="宋体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</w:rPr>
        <w:t>培训等其他相关要求。</w:t>
      </w:r>
    </w:p>
    <w:p w14:paraId="4D3A299B">
      <w:pPr>
        <w:widowControl/>
        <w:spacing w:line="276" w:lineRule="auto"/>
        <w:ind w:firstLine="480" w:firstLineChars="200"/>
        <w:rPr>
          <w:rFonts w:hint="eastAsia" w:cs="宋体"/>
          <w:color w:val="000000"/>
          <w:kern w:val="0"/>
          <w:sz w:val="24"/>
          <w:lang w:val="en-US" w:eastAsia="zh-CN"/>
        </w:rPr>
      </w:pPr>
      <w:r>
        <w:rPr>
          <w:rFonts w:hint="eastAsia" w:cs="宋体"/>
          <w:color w:val="000000"/>
          <w:kern w:val="0"/>
          <w:sz w:val="24"/>
          <w:lang w:val="en-US" w:eastAsia="zh-CN"/>
        </w:rPr>
        <w:t>提供线上或线下培训，培训次数不少于3次。</w:t>
      </w:r>
    </w:p>
    <w:p w14:paraId="6BFE7E9D">
      <w:pPr>
        <w:pStyle w:val="2"/>
        <w:numPr>
          <w:ilvl w:val="0"/>
          <w:numId w:val="1"/>
        </w:numPr>
        <w:ind w:left="420" w:leftChars="0" w:hanging="420" w:firstLineChars="0"/>
        <w:rPr>
          <w:rFonts w:hint="eastAsia" w:cs="宋体"/>
          <w:color w:val="000000"/>
          <w:kern w:val="0"/>
          <w:sz w:val="24"/>
          <w:lang w:val="en-US" w:eastAsia="zh-CN"/>
        </w:rPr>
      </w:pPr>
      <w:r>
        <w:rPr>
          <w:rFonts w:hint="eastAsia" w:cs="宋体"/>
          <w:color w:val="000000"/>
          <w:kern w:val="0"/>
          <w:sz w:val="24"/>
          <w:lang w:val="en-US" w:eastAsia="zh-CN"/>
        </w:rPr>
        <w:t>售后服务与质保条款：</w:t>
      </w:r>
    </w:p>
    <w:p w14:paraId="76A847ED">
      <w:pPr>
        <w:pStyle w:val="2"/>
        <w:ind w:left="0" w:leftChars="0" w:firstLine="480" w:firstLineChars="200"/>
        <w:rPr>
          <w:rFonts w:hint="eastAsia" w:cs="宋体"/>
          <w:color w:val="000000"/>
          <w:kern w:val="0"/>
          <w:sz w:val="24"/>
          <w:lang w:val="en-US" w:eastAsia="zh-CN"/>
        </w:rPr>
      </w:pPr>
      <w:r>
        <w:rPr>
          <w:rFonts w:hint="eastAsia" w:cs="宋体"/>
          <w:color w:val="000000"/>
          <w:kern w:val="0"/>
          <w:sz w:val="24"/>
          <w:lang w:val="en-US" w:eastAsia="zh-CN"/>
        </w:rPr>
        <w:t>本项目系统软件终身免费使用，自验收合格之日起提供一年免费质保服务。质保期满后，系统后续运维及技术支持服务费按合同总金额的10%/年收取。该费用包含系统日常维护、故障排查、技术支持等常规服务，中标人须保证后续服务质量不低于质保期内的服务标准。若实际服务需求发生重大变更，相关费用可由双方另行协商调整。</w:t>
      </w:r>
    </w:p>
    <w:p w14:paraId="695AA35F">
      <w:pPr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 xml:space="preserve">                                                                 </w:t>
      </w:r>
    </w:p>
    <w:p w14:paraId="7BC0224B"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</w:t>
      </w:r>
    </w:p>
    <w:p w14:paraId="2355D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6DB4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88" w:lineRule="auto"/>
        <w:jc w:val="both"/>
        <w:textAlignment w:val="auto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附件：</w:t>
      </w:r>
    </w:p>
    <w:p w14:paraId="1B105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88" w:lineRule="auto"/>
        <w:ind w:firstLine="1405" w:firstLineChars="50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上海商学院教学项目全生命周期数字化管理平台</w:t>
      </w:r>
    </w:p>
    <w:p w14:paraId="07750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技术参数要求</w:t>
      </w:r>
    </w:p>
    <w:p w14:paraId="77DA5BA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基础平台</w:t>
      </w:r>
    </w:p>
    <w:p w14:paraId="0B78DE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 架构与兼容性</w:t>
      </w:r>
    </w:p>
    <w:p w14:paraId="791A1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1.1 系统应采用先进的B/S架构，基于微服务设计，确保高可用性与可扩展性。</w:t>
      </w:r>
    </w:p>
    <w:p w14:paraId="61E81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1.2 必须全面兼容主流浏览器（Chrome, Edge, Firefox等），并支持响应式布局，确保在PC、平板及移动端具有一致的交互体验。</w:t>
      </w:r>
    </w:p>
    <w:p w14:paraId="0C7AEB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 审计与安全管控</w:t>
      </w:r>
    </w:p>
    <w:p w14:paraId="652CB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2.1 全链路日志审计：系统需构建完整的审计追踪体系。登录日志应涵盖用户账号、状态、IP、浏览器指纹、操作系统及精确时间戳；操作日志需实现原子级记录，包含：模块路径、操作类型（增删改查）、执行状态、URL地址、请求参数及返回数据快照、操作人IP等。</w:t>
      </w:r>
    </w:p>
    <w:p w14:paraId="5110F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2.2 多维权限模型：支持基于RBAC（基于角色的访问控制）的精细化权限管理。支持校级、部门、院系、教师等多层级角色设定，用户档案需包含组织架构归属、唯一标识账号、电子邮箱、手机号等扩展字段。</w:t>
      </w:r>
    </w:p>
    <w:p w14:paraId="17C0A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 动态菜单与界面编排</w:t>
      </w:r>
    </w:p>
    <w:p w14:paraId="3EB06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3.1 可视化菜单管理：支持通过后台配置动态生成系统导航。需支持多种页面打开模式（当前页、新窗口、内嵌Iframe、模态弹出窗等），并支持图标自定义配置及基于角色的菜单可见性控制。</w:t>
      </w:r>
    </w:p>
    <w:p w14:paraId="76F0D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4. 统一身份认证与集成</w:t>
      </w:r>
    </w:p>
    <w:p w14:paraId="669C5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4.1 系统必须支持标准协议（如CAS, OAuth2.0, SAML等）与学校统一身份认证平台对接，实现单点登录（SSO）。</w:t>
      </w:r>
    </w:p>
    <w:p w14:paraId="25F82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5. 动态表单引擎（核心能力）</w:t>
      </w:r>
    </w:p>
    <w:p w14:paraId="43146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5.1 元数据驱动建表：支持在线可视化配置复杂表单，支持主子表嵌套结构。</w:t>
      </w:r>
    </w:p>
    <w:p w14:paraId="333E1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5.2 高效建表机制：支持通过Excel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模板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快速映射生成数据库表结构。</w:t>
      </w:r>
    </w:p>
    <w:p w14:paraId="61AF3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5.3 高级字段类型：必须支持包括但不限于时间日期、大文本、多文件上传（含在线预览）、电子签名、远程数据源搜索单选/多选框等复杂组件。</w:t>
      </w:r>
    </w:p>
    <w:p w14:paraId="6EAD8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6. 多级协同数据采集体系</w:t>
      </w:r>
    </w:p>
    <w:p w14:paraId="60553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6.1 层级填报机制：支持自定义多级填报任务，可灵活配置数据流转层级。</w:t>
      </w:r>
    </w:p>
    <w:p w14:paraId="24F38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6.2 动态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模板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继承：支持设置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模板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数据来源（前置层级全量、本单位数据、自定义数据集），并具备严格的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模板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校验机制（一致性校验、包含校验、补充校验等）。</w:t>
      </w:r>
    </w:p>
    <w:p w14:paraId="6D98A2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6.3 字段级权限控制：支持在不同填报层级对同一字段设置“不可见、只读、可写”三种权限状态。</w:t>
      </w:r>
    </w:p>
    <w:p w14:paraId="07A7A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7. 动态流程编排引擎</w:t>
      </w:r>
    </w:p>
    <w:p w14:paraId="4A274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7.1 可视化工作流设计：支持在线配置业务流程，支持动态节点定义。</w:t>
      </w:r>
    </w:p>
    <w:p w14:paraId="1DDEA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7.2 灵活处理人指派：处理人可定义为指定角色、特定用户、发起人或基于业务逻辑的动态流转人员。</w:t>
      </w:r>
    </w:p>
    <w:p w14:paraId="5708D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7.3 细粒度权限映射：流程节点需与表单字段权限联动，支持对业务主表及子表的字段进行“不可见、只读、可写、仅新增行”等权限精细化控制。</w:t>
      </w:r>
    </w:p>
    <w:p w14:paraId="64DB9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8.业务流程执行与物料管理</w:t>
      </w:r>
    </w:p>
    <w:p w14:paraId="39225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8.1 批量任务驱动：支持关联数据集一键发起多用户并行流程。</w:t>
      </w:r>
    </w:p>
    <w:p w14:paraId="4E1FD1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8.2 全生命周期管理：针对附件材料，支持流程节点的打包下载、合并预览。管理员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须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具备跨流程的全局物料检索与批量导出能力。</w:t>
      </w:r>
    </w:p>
    <w:p w14:paraId="3AB5D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9. 智能监测与自动化触发</w:t>
      </w:r>
    </w:p>
    <w:p w14:paraId="7D522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9.1 阈值监控体系：支持自定义配置监测任务，设定监测条件与触发阈值。</w:t>
      </w:r>
    </w:p>
    <w:p w14:paraId="05637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9.2 自动化闭环：当指标超过阈值时，系统应能自动触发预设的处理流程并通知负责人。</w:t>
      </w:r>
    </w:p>
    <w:p w14:paraId="6C5FF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10. 工业级运维后台</w:t>
      </w:r>
    </w:p>
    <w:p w14:paraId="28E80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10.1 实时状态监控：支持服务器心跳监测及各微服务模块运行状态可视化。</w:t>
      </w:r>
    </w:p>
    <w:p w14:paraId="4A312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10.2 灰度发布与更新：支持按模块/守护进程发布更新任务，记录详细的更新日志、错误堆栈及备份快照。</w:t>
      </w:r>
    </w:p>
    <w:p w14:paraId="1B946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10.3 自动化告警：支持最近7天备份数据的快速回滚，并在系统异常时通过企业微信/钉钉等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即时通信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工具发送实时告警。</w:t>
      </w:r>
    </w:p>
    <w:p w14:paraId="06394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. 可视化自助数据探索</w:t>
      </w:r>
    </w:p>
    <w:p w14:paraId="43A77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.1 拖拽式查询引擎：提供可视化数据探索界面，允许非技术用户通过拖拽字段、自助设定筛选条件实时生成数据集。</w:t>
      </w:r>
    </w:p>
    <w:p w14:paraId="307B62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.2 SQL自动翻译：系统需能将用户的可视化操作实时转化为标准SQL语句，满足专业化、定制化的数据提取需求。</w:t>
      </w:r>
    </w:p>
    <w:p w14:paraId="28615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12. 异构数据同步策略</w:t>
      </w:r>
    </w:p>
    <w:p w14:paraId="6676A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12.1 可配置抽取链路：支持在线配置从学校开放数据库到系统数据集的同步策略。</w:t>
      </w:r>
    </w:p>
    <w:p w14:paraId="4FCEB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12.2 复杂逻辑映射：支持定义取值逻辑、年份批次及状态过滤。</w:t>
      </w:r>
    </w:p>
    <w:p w14:paraId="0A748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12.3 数据一致性校验：同步前必须进行预检查，识别错误与警告。</w:t>
      </w:r>
    </w:p>
    <w:p w14:paraId="2FA41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12.4 覆盖策略：支持主键更新、主键忽略、全量覆盖等多种入库策略。</w:t>
      </w:r>
    </w:p>
    <w:p w14:paraId="0D25C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. 办公软件原生报表集成</w:t>
      </w:r>
    </w:p>
    <w:p w14:paraId="0B1F37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.1 无缝交互架构：系统需实现与WPS/Excel等办公软件的底层打通。报表设计直接在原生办公软件中完成（非类Excel编辑器），支持直接调用系统实时数据。</w:t>
      </w:r>
    </w:p>
    <w:p w14:paraId="43D45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.2 多端一键发布：在WPS/Excel中设计的报表及图形，支持一键发布至Web端、平板和手机端，并具备针对不同终端的自适应渲染能力。</w:t>
      </w:r>
    </w:p>
    <w:p w14:paraId="7CBF615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业务实现</w:t>
      </w:r>
    </w:p>
    <w:p w14:paraId="1B593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 基础数据集成</w:t>
      </w:r>
    </w:p>
    <w:p w14:paraId="0691D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1.1 实现与学校教学建设项目平台的数据对接，自动同步课程信息（名称、类型、学时、教材等）及教师信息（学历、职称、研究方向等）。</w:t>
      </w:r>
    </w:p>
    <w:p w14:paraId="33FBD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 项目申报全生命周期管理</w:t>
      </w:r>
    </w:p>
    <w:p w14:paraId="38C750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2.1 智能申报：支持管理员发起申报任务。教师填写申报书时，系统需自动填充对接的基础信息并允许二次修正。</w:t>
      </w:r>
    </w:p>
    <w:p w14:paraId="587F9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2.2 多级审核：构建“教师→学院秘书→学院领导→教务处”的审核链路。</w:t>
      </w:r>
    </w:p>
    <w:p w14:paraId="42626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2.3 动态评委指派：教务处审核通过后，支持灵活分配评审专家，并自动触发评委端的在线评审任务。</w:t>
      </w:r>
    </w:p>
    <w:p w14:paraId="32634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2.4 闭环评审：评委端需支持申报书查阅、意见录入、电子签名及评审结论判定。</w:t>
      </w:r>
    </w:p>
    <w:p w14:paraId="40F995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2.5 立项自动化：基于评审汇总结果确定立项，系统自动生成唯一项目编号。</w:t>
      </w:r>
    </w:p>
    <w:p w14:paraId="266EB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 中期检查与结题验收</w:t>
      </w:r>
    </w:p>
    <w:p w14:paraId="1AEE9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3.1 成果填报：支持教师按绩效目标逐项填写完成情况并上传支撑材料。</w:t>
      </w:r>
    </w:p>
    <w:p w14:paraId="293F8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3.2 评审追溯：中期及结题评审时，评委必须能一键查阅该项目的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（初始申报书→立项意见→中期成果/材料→中期意见→最终成果）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的全链路历史数据。</w:t>
      </w:r>
    </w:p>
    <w:p w14:paraId="3A750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3.3 审核闭环：遵循“学院→教务处→评委”的审核与评审机制，支持电子签名。</w:t>
      </w:r>
    </w:p>
    <w:p w14:paraId="676CE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4. 预算申请与管控</w:t>
      </w:r>
    </w:p>
    <w:p w14:paraId="3A09A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4.1 预算流转：构建“教师申请→学院秘书审批→学院领导审批→教务处审核”的预算申请流程。</w:t>
      </w:r>
    </w:p>
    <w:p w14:paraId="5EF62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5. 多维数据洞察与分析</w:t>
      </w:r>
    </w:p>
    <w:p w14:paraId="60635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5.1 全量查询：教务处可导出项目进度、评审状态、预算执行等全局数据。</w:t>
      </w:r>
    </w:p>
    <w:p w14:paraId="4F6F3A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5.2 权限隔离查询：教师仅可见本人相关项目，学院仅可见本院项目。</w:t>
      </w:r>
    </w:p>
    <w:p w14:paraId="707E3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5.3 深度分析：利用平台的可视化能力，实现分学院项目分布、绩效目标达成率统计、预算执行偏差分析等多维度报表。</w:t>
      </w:r>
    </w:p>
    <w:p w14:paraId="3905D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6.业务逻辑自定义能力</w:t>
      </w:r>
    </w:p>
    <w:p w14:paraId="7D0BC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6.1 系统必须支持在不修改代码的情况下，由管理员自主调整项目申报、中期检查、结题验收的所有数据字段及审批流程节点。</w:t>
      </w:r>
    </w:p>
    <w:p w14:paraId="69EB31CF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page"/>
      </w:r>
    </w:p>
    <w:p w14:paraId="4615F5D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其他要求</w:t>
      </w:r>
    </w:p>
    <w:p w14:paraId="21C3EE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学校有权在合同签订前要求中标供应商进行系统部署测试。若供应商未能满足招标文件中明确规定的相关技术要求，其行为将被视为存在虚假应标情形，学校有权依据招标文件约定条款终止合作并追究相应责任。</w:t>
      </w:r>
    </w:p>
    <w:p w14:paraId="2B88B3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default" w:asciiTheme="minorEastAsia" w:hAnsiTheme="minorEastAsia" w:cstheme="minorEastAsia"/>
          <w:b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F80D3D"/>
    <w:multiLevelType w:val="singleLevel"/>
    <w:tmpl w:val="A4F80D3D"/>
    <w:lvl w:ilvl="0" w:tentative="0">
      <w:start w:val="7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93C2212"/>
    <w:multiLevelType w:val="singleLevel"/>
    <w:tmpl w:val="693C221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18674F3"/>
    <w:multiLevelType w:val="multilevel"/>
    <w:tmpl w:val="718674F3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FF2075"/>
    <w:rsid w:val="015A390A"/>
    <w:rsid w:val="06E72E78"/>
    <w:rsid w:val="108F171B"/>
    <w:rsid w:val="112C24FB"/>
    <w:rsid w:val="1765662A"/>
    <w:rsid w:val="1A951111"/>
    <w:rsid w:val="1B776B87"/>
    <w:rsid w:val="27483067"/>
    <w:rsid w:val="31F167D5"/>
    <w:rsid w:val="38C22C79"/>
    <w:rsid w:val="3DB17760"/>
    <w:rsid w:val="41943621"/>
    <w:rsid w:val="43FF2075"/>
    <w:rsid w:val="469F0A9E"/>
    <w:rsid w:val="4B413ED2"/>
    <w:rsid w:val="4E516B22"/>
    <w:rsid w:val="501F0559"/>
    <w:rsid w:val="60D31618"/>
    <w:rsid w:val="624A039D"/>
    <w:rsid w:val="65876E75"/>
    <w:rsid w:val="672E57FA"/>
    <w:rsid w:val="67DB6AFC"/>
    <w:rsid w:val="6DE50BDD"/>
    <w:rsid w:val="72BF7C4E"/>
    <w:rsid w:val="76FB1B26"/>
    <w:rsid w:val="77F73E32"/>
    <w:rsid w:val="78B10CC2"/>
    <w:rsid w:val="FDBEC992"/>
    <w:rsid w:val="FF5E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tabs>
        <w:tab w:val="left" w:pos="5580"/>
      </w:tabs>
      <w:spacing w:after="120"/>
      <w:ind w:left="420" w:leftChars="200" w:firstLine="200" w:firstLineChars="200"/>
    </w:pPr>
    <w:rPr>
      <w:sz w:val="21"/>
    </w:rPr>
  </w:style>
  <w:style w:type="paragraph" w:styleId="3">
    <w:name w:val="Body Text Indent"/>
    <w:basedOn w:val="1"/>
    <w:next w:val="1"/>
    <w:qFormat/>
    <w:uiPriority w:val="0"/>
    <w:pPr>
      <w:spacing w:after="120"/>
      <w:ind w:left="200" w:leftChars="200"/>
    </w:pPr>
  </w:style>
  <w:style w:type="paragraph" w:styleId="4">
    <w:name w:val="Body Text"/>
    <w:basedOn w:val="1"/>
    <w:semiHidden/>
    <w:unhideWhenUsed/>
    <w:qFormat/>
    <w:uiPriority w:val="99"/>
    <w:pPr>
      <w:spacing w:after="120"/>
    </w:p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等线" w:hAnsi="等线" w:eastAsia="等线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7fa227eb-9cfe-48c7-ab57-9426ca1363ed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6740FF65</paraID>
      <start>15</start>
      <end>16</end>
      <status>unmodified</status>
      <modifiedWord/>
      <trackRevisions>false</trackRevisions>
    </reviewItem>
    <reviewItem>
      <errorID>ebd08d7e-c78d-40f1-be04-7aa13648ea55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6740FF65</paraID>
      <start>38</start>
      <end>39</end>
      <status>unmodified</status>
      <modifiedWord/>
      <trackRevisions>false</trackRevisions>
    </reviewItem>
    <reviewItem>
      <errorID>93cffc17-e7a3-4154-86b2-343c138e497c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6740FF65</paraID>
      <start>69</start>
      <end>70</end>
      <status>unmodified</status>
      <modifiedWord/>
      <trackRevisions>false</trackRevisions>
    </reviewItem>
    <reviewItem>
      <errorID>92736585-456b-432f-9c00-7f55578d2dea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6740FF65</paraID>
      <start>85</start>
      <end>86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c81e716-fe5f-4fde-9165-8de329f35b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2949</Words>
  <Characters>3193</Characters>
  <Lines>0</Lines>
  <Paragraphs>0</Paragraphs>
  <TotalTime>143</TotalTime>
  <ScaleCrop>false</ScaleCrop>
  <LinksUpToDate>false</LinksUpToDate>
  <CharactersWithSpaces>3429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2026-08-07T16:21:00Z</dcterms:created>
  <dc:creator>微信用户</dc:creator>
  <cp:lastModifiedBy>徐磊</cp:lastModifiedBy>
  <dcterms:modified xsi:type="dcterms:W3CDTF">2026-08-23T05:59:50Z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2640D65A03A0005B9A95756A7EC65DA4_41</vt:lpwstr>
  </property>
  <property fmtid="{D5CDD505-2E9C-101B-9397-08002B2CF9AE}" pid="4" name="KSOTemplateDocerSaveRecord">
    <vt:lpwstr>eyJoZGlkIjoiMjE2MmFhZGUzN2ViOWQ1NGM0NjI3NjlmZWVlNTQ2N2QiLCJ1c2VySWQiOiI2MDY5NDY0NTkifQ==</vt:lpwstr>
  </property>
</Properties>
</file>