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19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jc w:val="center"/>
        <w:textAlignment w:val="auto"/>
        <w:rPr>
          <w:rFonts w:hint="eastAsia" w:ascii="宋体" w:hAnsi="宋体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奉浦、中山西路校区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燃气报警维保服务比价需求</w:t>
      </w:r>
    </w:p>
    <w:p w14:paraId="7D343F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jc w:val="left"/>
        <w:textAlignment w:val="auto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项目名称：</w:t>
      </w:r>
      <w:r>
        <w:rPr>
          <w:rFonts w:hint="eastAsia" w:ascii="宋体" w:hAnsi="宋体"/>
          <w:sz w:val="32"/>
          <w:szCs w:val="32"/>
          <w:lang w:val="en-US" w:eastAsia="zh-CN"/>
        </w:rPr>
        <w:t>奉浦、中山西路</w:t>
      </w:r>
      <w:r>
        <w:rPr>
          <w:rFonts w:hint="eastAsia" w:ascii="宋体" w:hAnsi="宋体"/>
          <w:sz w:val="32"/>
          <w:szCs w:val="32"/>
          <w:lang w:eastAsia="zh-CN"/>
        </w:rPr>
        <w:t>校区燃气报警维保服务</w:t>
      </w:r>
    </w:p>
    <w:p w14:paraId="1FCC53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jc w:val="left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yellow"/>
          <w:lang w:val="en-US" w:eastAsia="zh-CN"/>
        </w:rPr>
        <w:t>项目内容</w:t>
      </w:r>
      <w:r>
        <w:rPr>
          <w:rFonts w:hint="eastAsia" w:ascii="宋体" w:hAnsi="宋体"/>
          <w:sz w:val="32"/>
          <w:szCs w:val="32"/>
          <w:lang w:val="en-US" w:eastAsia="zh-CN"/>
        </w:rPr>
        <w:t>：为两校区的可燃气体报警系统（含报警主机、防爆探测器、联动控制箱、紧急切断阀等）提供定期巡检、维护保养、故障维修、年度检测等服务，确保燃气报警系统持续有效运行，杜绝安全隐患。</w:t>
      </w:r>
    </w:p>
    <w:p w14:paraId="7B64BF9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yellow"/>
          <w:lang w:val="en-US" w:eastAsia="zh-CN"/>
        </w:rPr>
        <w:t>三、预算</w:t>
      </w:r>
      <w:r>
        <w:rPr>
          <w:rFonts w:hint="eastAsia" w:ascii="宋体" w:hAnsi="宋体"/>
          <w:sz w:val="32"/>
          <w:szCs w:val="32"/>
          <w:lang w:val="en-US" w:eastAsia="zh-CN"/>
        </w:rPr>
        <w:t>：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3.5075</w:t>
      </w:r>
      <w:bookmarkStart w:id="0" w:name="_GoBack"/>
      <w:bookmarkEnd w:id="0"/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万元。</w:t>
      </w:r>
      <w:r>
        <w:rPr>
          <w:rFonts w:hint="eastAsia" w:ascii="宋体" w:hAnsi="宋体"/>
          <w:sz w:val="32"/>
          <w:szCs w:val="32"/>
          <w:lang w:val="en-US" w:eastAsia="zh-CN"/>
        </w:rPr>
        <w:t>报价应包含交通费、通讯费、各类保险、住宿费、服务管理费、工具损耗、维修人工费和各类税金等为本次维保服务的全部支出费用，不含设备故障更换零配件费用。零配件费用以京东等大型线上平台的市场公允价为基准，根据供应商提供的《零配件清单》及下浮折扣率进行结算。投标时须提供常用零配件报价清单及下浮折扣率，作为合同附件。</w:t>
      </w:r>
    </w:p>
    <w:p w14:paraId="6C0566DC">
      <w:pPr>
        <w:widowControl/>
        <w:numPr>
          <w:ilvl w:val="0"/>
          <w:numId w:val="0"/>
        </w:numPr>
        <w:spacing w:before="100" w:after="100" w:line="360" w:lineRule="auto"/>
        <w:ind w:leftChars="0"/>
        <w:jc w:val="left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宋体" w:hAnsi="宋体"/>
          <w:b w:val="0"/>
          <w:bCs/>
          <w:sz w:val="32"/>
          <w:szCs w:val="32"/>
        </w:rPr>
        <w:t>合格</w:t>
      </w:r>
      <w:r>
        <w:rPr>
          <w:rFonts w:hint="eastAsia" w:ascii="宋体" w:hAnsi="宋体"/>
          <w:b w:val="0"/>
          <w:bCs/>
          <w:sz w:val="32"/>
          <w:szCs w:val="32"/>
          <w:lang w:eastAsia="zh-CN"/>
        </w:rPr>
        <w:t>比价单位</w:t>
      </w:r>
      <w:r>
        <w:rPr>
          <w:rFonts w:hint="eastAsia" w:ascii="宋体" w:hAnsi="宋体"/>
          <w:b w:val="0"/>
          <w:bCs/>
          <w:sz w:val="32"/>
          <w:szCs w:val="32"/>
        </w:rPr>
        <w:t>必须同时具备以下条件</w:t>
      </w:r>
      <w:r>
        <w:rPr>
          <w:rFonts w:hint="eastAsia" w:ascii="宋体" w:hAnsi="宋体"/>
          <w:b w:val="0"/>
          <w:bCs/>
          <w:sz w:val="32"/>
          <w:szCs w:val="32"/>
          <w:lang w:eastAsia="zh-CN"/>
        </w:rPr>
        <w:t>并上传相关资质、证件承若书等材料</w:t>
      </w:r>
    </w:p>
    <w:p w14:paraId="1CAFD604">
      <w:pPr>
        <w:widowControl/>
        <w:numPr>
          <w:ilvl w:val="0"/>
          <w:numId w:val="0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合格的</w:t>
      </w:r>
      <w:r>
        <w:rPr>
          <w:rFonts w:hint="eastAsia" w:ascii="宋体" w:hAnsi="宋体"/>
          <w:kern w:val="0"/>
          <w:sz w:val="32"/>
          <w:szCs w:val="32"/>
          <w:lang w:eastAsia="zh-CN"/>
        </w:rPr>
        <w:t>比价单位</w:t>
      </w:r>
      <w:r>
        <w:rPr>
          <w:rFonts w:hint="eastAsia" w:ascii="宋体" w:hAnsi="宋体"/>
          <w:kern w:val="0"/>
          <w:sz w:val="32"/>
          <w:szCs w:val="32"/>
        </w:rPr>
        <w:t>除具备政府采购法第二十二条规定的条件外还应具备以下资格条件：</w:t>
      </w:r>
    </w:p>
    <w:p w14:paraId="6EEEC268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lang w:eastAsia="zh-CN"/>
        </w:rPr>
        <w:t>在中华人民共和国境内注册</w:t>
      </w:r>
      <w:r>
        <w:rPr>
          <w:rFonts w:hint="eastAsia" w:ascii="宋体" w:hAnsi="宋体"/>
          <w:kern w:val="0"/>
          <w:sz w:val="32"/>
          <w:szCs w:val="32"/>
        </w:rPr>
        <w:t>，</w:t>
      </w:r>
      <w:r>
        <w:rPr>
          <w:rFonts w:hint="eastAsia" w:ascii="宋体" w:hAnsi="宋体"/>
          <w:kern w:val="0"/>
          <w:sz w:val="32"/>
          <w:szCs w:val="32"/>
          <w:highlight w:val="yellow"/>
        </w:rPr>
        <w:t>具有独立</w:t>
      </w:r>
      <w:r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  <w:t>民事主体，有效营业执照，安全生产许可证；</w:t>
      </w:r>
    </w:p>
    <w:p w14:paraId="765266CA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lang w:eastAsia="zh-CN"/>
        </w:rPr>
        <w:t>具有从事燃气技术等领域的技术服务</w:t>
      </w:r>
      <w:r>
        <w:rPr>
          <w:rFonts w:hint="eastAsia" w:ascii="宋体" w:hAnsi="宋体"/>
          <w:kern w:val="0"/>
          <w:sz w:val="32"/>
          <w:szCs w:val="32"/>
          <w:highlight w:val="yellow"/>
        </w:rPr>
        <w:t>或燃气报警系统维保相关经营范围</w:t>
      </w:r>
    </w:p>
    <w:p w14:paraId="3CF0537F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  <w:t>燃气具安装资质，</w:t>
      </w:r>
      <w:r>
        <w:rPr>
          <w:rFonts w:hint="eastAsia" w:ascii="宋体" w:hAnsi="宋体"/>
          <w:kern w:val="0"/>
          <w:sz w:val="32"/>
          <w:szCs w:val="32"/>
          <w:highlight w:val="yellow"/>
        </w:rPr>
        <w:t>具备消防设施工程专业承包二级及以上资质</w:t>
      </w:r>
      <w:r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  <w:t>。</w:t>
      </w:r>
    </w:p>
    <w:p w14:paraId="1671355D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lang w:eastAsia="zh-CN"/>
        </w:rPr>
        <w:t>或具备中华人民共和国防爆电气设备安装检修维护资格证书</w:t>
      </w:r>
    </w:p>
    <w:p w14:paraId="1EF40FED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highlight w:val="yellow"/>
          <w:lang w:val="en-US" w:eastAsia="zh-CN"/>
        </w:rPr>
        <w:t>近三</w:t>
      </w:r>
      <w:r>
        <w:rPr>
          <w:rFonts w:hint="eastAsia" w:ascii="宋体" w:hAnsi="宋体"/>
          <w:kern w:val="0"/>
          <w:sz w:val="32"/>
          <w:szCs w:val="32"/>
          <w:highlight w:val="yellow"/>
          <w:lang w:eastAsia="zh-CN"/>
        </w:rPr>
        <w:t>年</w:t>
      </w:r>
      <w:r>
        <w:rPr>
          <w:rFonts w:hint="eastAsia" w:ascii="宋体" w:hAnsi="宋体"/>
          <w:kern w:val="0"/>
          <w:sz w:val="32"/>
          <w:szCs w:val="32"/>
          <w:lang w:eastAsia="zh-CN"/>
        </w:rPr>
        <w:t>内未发生安全责任事故（提供书面声明）。</w:t>
      </w:r>
    </w:p>
    <w:p w14:paraId="0DD90FC3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lang w:eastAsia="zh-CN"/>
        </w:rPr>
        <w:t>维修人员须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持有</w:t>
      </w:r>
      <w:r>
        <w:rPr>
          <w:rFonts w:hint="eastAsia" w:ascii="宋体" w:hAnsi="宋体"/>
          <w:kern w:val="0"/>
          <w:sz w:val="32"/>
          <w:szCs w:val="32"/>
          <w:lang w:eastAsia="zh-CN"/>
        </w:rPr>
        <w:t>燃气从业上岗证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及</w:t>
      </w:r>
      <w:r>
        <w:rPr>
          <w:rFonts w:hint="eastAsia" w:ascii="宋体" w:hAnsi="宋体"/>
          <w:kern w:val="0"/>
          <w:sz w:val="32"/>
          <w:szCs w:val="32"/>
          <w:lang w:eastAsia="zh-CN"/>
        </w:rPr>
        <w:t>防爆电工证等有效资格证书。</w:t>
      </w:r>
    </w:p>
    <w:p w14:paraId="49163E90">
      <w:pPr>
        <w:widowControl/>
        <w:numPr>
          <w:ilvl w:val="0"/>
          <w:numId w:val="2"/>
        </w:numPr>
        <w:spacing w:before="100" w:after="100" w:line="360" w:lineRule="auto"/>
        <w:ind w:leftChars="0"/>
        <w:jc w:val="left"/>
        <w:rPr>
          <w:rFonts w:hint="eastAsia" w:ascii="宋体" w:hAnsi="宋体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kern w:val="0"/>
          <w:sz w:val="32"/>
          <w:szCs w:val="32"/>
          <w:lang w:eastAsia="zh-CN"/>
        </w:rPr>
        <w:t>未被列入“信用中国”网站失信被执行人、重大税收违法案件当事人名单及“中国政府采购网”政府采购严重违法失信行为记录名单</w:t>
      </w:r>
      <w:r>
        <w:rPr>
          <w:rFonts w:hint="default" w:ascii="宋体" w:hAnsi="宋体"/>
          <w:kern w:val="0"/>
          <w:sz w:val="32"/>
          <w:szCs w:val="32"/>
          <w:lang w:eastAsia="zh-CN"/>
        </w:rPr>
        <w:t>。</w:t>
      </w:r>
    </w:p>
    <w:p w14:paraId="07BC9C39">
      <w:pPr>
        <w:widowControl/>
        <w:numPr>
          <w:ilvl w:val="0"/>
          <w:numId w:val="0"/>
        </w:numPr>
        <w:spacing w:before="100" w:after="100" w:line="360" w:lineRule="auto"/>
        <w:ind w:leftChars="0"/>
        <w:jc w:val="left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五、服务要求：</w:t>
      </w:r>
    </w:p>
    <w:p w14:paraId="70CCDB0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（1）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每月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至少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一次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对所有燃气报警装置进行现场巡检</w:t>
      </w:r>
      <w:r>
        <w:rPr>
          <w:rFonts w:hint="eastAsia" w:ascii="宋体" w:hAnsi="宋体" w:eastAsia="宋体"/>
          <w:kern w:val="0"/>
          <w:sz w:val="32"/>
          <w:szCs w:val="32"/>
          <w:highlight w:val="yellow"/>
          <w:lang w:val="en-US" w:eastAsia="zh-CN"/>
        </w:rPr>
        <w:t>（寒暑假、重大节假日前需增加1次专项检查）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；</w:t>
      </w:r>
    </w:p>
    <w:p w14:paraId="7867BD3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（2）</w:t>
      </w:r>
      <w:r>
        <w:rPr>
          <w:rFonts w:hint="eastAsia" w:ascii="宋体" w:hAnsi="宋体"/>
          <w:kern w:val="0"/>
          <w:sz w:val="32"/>
          <w:szCs w:val="32"/>
          <w:highlight w:val="yellow"/>
          <w:lang w:val="en-US" w:eastAsia="zh-CN"/>
        </w:rPr>
        <w:t>巡检内容包括：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探测器外观检查、灵敏度测试、电源状态检查、声光报警功能测试、报警主机自检/消音/主备电切换功能测试等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instrText xml:space="preserve"> HYPERLINK "https://pur.airchina.com.cn/en/001/001004/20250929/b3c738c6-2593-4a7a-89cd-2d6b715c05d1.html" \t "https://chat.deepseek.com/a/chat/s/_blank" </w:instrTex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；</w:t>
      </w:r>
    </w:p>
    <w:p w14:paraId="15CE32C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（3）每次巡检须保留书面台账记录，由校方人员签字确认。</w:t>
      </w:r>
    </w:p>
    <w:p w14:paraId="7FBDDCC2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（4）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接到报修后2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0分钟响应，30分钟到现场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；</w:t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t>一般故障：4小时内修复；紧急故障（如燃气泄漏报警）：2小时内响应、4小时内快速处置，确保人员安全</w:t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instrText xml:space="preserve"> HYPERLINK "http://www.shxj.edu.cn/_upload/article/files/2b/13/3229895f464bbe73d3ff6ec5e8ef/11ca9f85-68d3-4494-bed2-541b34341717.pdf" \l "1#1" \t "https://chat.deepseek.com/a/chat/s/_blank" </w:instrText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fldChar w:fldCharType="separate"/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fldChar w:fldCharType="end"/>
      </w:r>
      <w:r>
        <w:rPr>
          <w:rFonts w:hint="eastAsia" w:ascii="宋体" w:hAnsi="宋体" w:eastAsia="宋体" w:cs="Times New Roman"/>
          <w:kern w:val="0"/>
          <w:sz w:val="32"/>
          <w:szCs w:val="32"/>
          <w:highlight w:val="yellow"/>
          <w:lang w:val="en-US" w:eastAsia="zh-CN" w:bidi="ar-SA"/>
        </w:rPr>
        <w:t>。</w:t>
      </w:r>
    </w:p>
    <w:p w14:paraId="3D70059E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（5）台账记录不全、响应不及时按约定扣除相关费用。</w:t>
      </w:r>
    </w:p>
    <w:p w14:paraId="0F467FCC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（6）每年使用标准气体对所有探测器进行校准检测，确保检测精度符合国家标准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instrText xml:space="preserve"> HYPERLINK "https://zb.lixin.edu.cn/wcm.files/upload/CMSgsglxy/202512/202512090916014.pdf" \l "1#1" \t "https://chat.deepseek.com/a/chat/s/_blank" </w:instrTex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；</w:t>
      </w:r>
    </w:p>
    <w:p w14:paraId="70DA464A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（7）每年提供第三方CMA资质检测报告，确保所有设备检测均处于有效期内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instrText xml:space="preserve"> HYPERLINK "https://czzx.ecust.edu.cn/ejdwcggg/7400.chtml" \t "https://chat.deepseek.com/a/chat/s/_blank" </w:instrTex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instrText xml:space="preserve"> HYPERLINK "https://zb.lixin.edu.cn/wcm.files/upload/CMSgsglxy/202512/202512090916014.pdf" \l "1#1" \t "https://chat.deepseek.com/a/chat/s/_blank" </w:instrTex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；</w:t>
      </w:r>
    </w:p>
    <w:p w14:paraId="792E4BDE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 w:eastAsia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（8）检测报告须向校方提交存档，并配合上级部门检查。</w:t>
      </w:r>
    </w:p>
    <w:p w14:paraId="584EFA32">
      <w:pPr>
        <w:widowControl/>
        <w:numPr>
          <w:ilvl w:val="0"/>
          <w:numId w:val="0"/>
        </w:numPr>
        <w:spacing w:before="100" w:after="100" w:line="360" w:lineRule="auto"/>
        <w:ind w:left="160" w:leftChars="0"/>
        <w:jc w:val="left"/>
        <w:rPr>
          <w:rFonts w:hint="eastAsia" w:ascii="宋体" w:hAnsi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（9）每半年测试燃气报警装置与紧急切断阀、排风系统的联动功能，确保紧急情况下自动响应。</w:t>
      </w:r>
    </w:p>
    <w:p w14:paraId="0F23ABA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（10）配合校方完成燃气安全演练、上级检查等专项工作</w:t>
      </w: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>。</w:t>
      </w:r>
    </w:p>
    <w:p w14:paraId="5C57F4F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宋体" w:hAnsi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（11）对校方管理人员进行设备操作与日常维护培训，每年至少1次</w:t>
      </w: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>。</w:t>
      </w:r>
    </w:p>
    <w:p w14:paraId="709228F7">
      <w:pPr>
        <w:widowControl/>
        <w:numPr>
          <w:ilvl w:val="0"/>
          <w:numId w:val="0"/>
        </w:numPr>
        <w:spacing w:before="100" w:after="100" w:line="360" w:lineRule="auto"/>
        <w:ind w:firstLine="320" w:firstLineChars="100"/>
        <w:jc w:val="left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kern w:val="0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、比价文件其他要求：</w:t>
      </w:r>
    </w:p>
    <w:p w14:paraId="2CAA4533">
      <w:pPr>
        <w:widowControl/>
        <w:numPr>
          <w:ilvl w:val="0"/>
          <w:numId w:val="0"/>
        </w:numPr>
        <w:spacing w:before="100" w:after="100" w:line="360" w:lineRule="auto"/>
        <w:ind w:leftChars="0"/>
        <w:jc w:val="left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1）★ 本项目预算3.5</w:t>
      </w: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>075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万，响应报价超过预算金额为无效响应；</w:t>
      </w:r>
    </w:p>
    <w:p w14:paraId="5649720E">
      <w:pPr>
        <w:widowControl/>
        <w:numPr>
          <w:ilvl w:val="0"/>
          <w:numId w:val="0"/>
        </w:numPr>
        <w:spacing w:before="100" w:after="100" w:line="360" w:lineRule="auto"/>
        <w:jc w:val="left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（2）服务期：合同签订后1年内；</w:t>
      </w:r>
    </w:p>
    <w:p w14:paraId="1D81584D">
      <w:pPr>
        <w:widowControl/>
        <w:numPr>
          <w:ilvl w:val="0"/>
          <w:numId w:val="0"/>
        </w:numPr>
        <w:spacing w:before="100" w:after="100" w:line="360" w:lineRule="auto"/>
        <w:jc w:val="left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（3）付款方式：按季度支付，每季度末经校方确认服务合格后支付当季度费用；</w:t>
      </w:r>
    </w:p>
    <w:p w14:paraId="451F2B00">
      <w:pPr>
        <w:spacing w:line="360" w:lineRule="auto"/>
        <w:ind w:firstLine="320" w:firstLineChars="100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六、★比价需上传材料</w:t>
      </w:r>
      <w:r>
        <w:rPr>
          <w:rFonts w:hint="default" w:ascii="宋体" w:hAnsi="宋体" w:eastAsia="宋体" w:cs="Times New Roman"/>
          <w:kern w:val="0"/>
          <w:sz w:val="32"/>
          <w:szCs w:val="32"/>
          <w:lang w:val="en-US" w:eastAsia="zh-CN" w:bidi="ar-SA"/>
        </w:rPr>
        <w:t>(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加盖公章</w:t>
      </w:r>
      <w:r>
        <w:rPr>
          <w:rFonts w:hint="default" w:ascii="宋体" w:hAnsi="宋体" w:eastAsia="宋体" w:cs="Times New Roman"/>
          <w:kern w:val="0"/>
          <w:sz w:val="32"/>
          <w:szCs w:val="32"/>
          <w:lang w:val="en-US" w:eastAsia="zh-CN" w:bidi="ar-SA"/>
        </w:rPr>
        <w:t>)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：</w:t>
      </w:r>
    </w:p>
    <w:p w14:paraId="139073E9">
      <w:pPr>
        <w:spacing w:line="360" w:lineRule="auto"/>
        <w:ind w:firstLine="320" w:firstLineChars="100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1、法定代表人授权书；</w:t>
      </w:r>
    </w:p>
    <w:p w14:paraId="60A69814">
      <w:pPr>
        <w:spacing w:line="360" w:lineRule="auto"/>
        <w:ind w:firstLine="320" w:firstLineChars="100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2、被授权人身份证复印件；</w:t>
      </w:r>
    </w:p>
    <w:p w14:paraId="232B68EC">
      <w:pPr>
        <w:spacing w:line="360" w:lineRule="auto"/>
        <w:ind w:firstLine="320" w:firstLineChars="100"/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3、企业相关资质复印件及施工人员从业资格证复印件；</w:t>
      </w:r>
    </w:p>
    <w:p w14:paraId="7A88C7B7">
      <w:pPr>
        <w:spacing w:line="360" w:lineRule="auto"/>
        <w:ind w:firstLine="320" w:firstLineChars="100"/>
        <w:rPr>
          <w:rFonts w:hint="default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4、附零配件清单</w:t>
      </w: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>及下浮折扣率</w:t>
      </w:r>
    </w:p>
    <w:p w14:paraId="7F95A460">
      <w:pPr>
        <w:spacing w:line="360" w:lineRule="auto"/>
        <w:ind w:firstLine="320" w:firstLineChars="100"/>
        <w:rPr>
          <w:rFonts w:hint="default" w:ascii="宋体" w:hAnsi="宋体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>5、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 w:bidi="ar-SA"/>
        </w:rPr>
        <w:t>服务承诺书（含安全责任承诺）</w:t>
      </w:r>
    </w:p>
    <w:p w14:paraId="39C4EACB">
      <w:pPr>
        <w:spacing w:line="360" w:lineRule="auto"/>
        <w:rPr>
          <w:rFonts w:hint="eastAsia" w:ascii="宋体" w:hAnsi="宋体" w:eastAsia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宋体" w:hAnsi="宋体" w:eastAsia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  <w:t>标有“★”的要求为资格符合性检查项，若不满足资格检查作不通过处理，为无效响应。</w:t>
      </w:r>
    </w:p>
    <w:p w14:paraId="22BCDFD4">
      <w:pPr>
        <w:spacing w:line="360" w:lineRule="auto"/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  <w:t>附件：设备主机、防爆探测其他点位等明细：</w:t>
      </w:r>
    </w:p>
    <w:p w14:paraId="24663FD5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firstLine="320" w:firstLineChars="1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highlight w:val="yellow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highlight w:val="yellow"/>
          <w:lang w:val="en-US" w:eastAsia="zh-CN" w:bidi="ar-SA"/>
        </w:rPr>
        <w:t>违约责任</w:t>
      </w:r>
    </w:p>
    <w:p w14:paraId="64C491BD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 xml:space="preserve"> 1.巡检违约:未按约定完成月度巡检的，每缺少1次扣减合同总价的2%；巡检记录弄虚作假的，每次扣减合同总价的5%。</w:t>
      </w:r>
    </w:p>
    <w:p w14:paraId="7519BA06">
      <w:pPr>
        <w:pStyle w:val="3"/>
        <w:keepNext w:val="0"/>
        <w:keepLines w:val="0"/>
        <w:widowControl/>
        <w:suppressLineNumbers w:val="0"/>
        <w:ind w:firstLine="320" w:firstLineChars="1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2.响应违约:未在约定时间内响应报修或到达现场的，每次扣款500元；因响应不及时导致安全事故扩大的，供应商承担相应法律责任。</w:t>
      </w:r>
    </w:p>
    <w:p w14:paraId="6920A8B1">
      <w:pPr>
        <w:pStyle w:val="3"/>
        <w:keepNext w:val="0"/>
        <w:keepLines w:val="0"/>
        <w:widowControl/>
        <w:suppressLineNumbers w:val="0"/>
        <w:ind w:firstLine="320" w:firstLineChars="1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3.年度检测违约:未按时提供年度CMA检测报告的，每逾期1天扣减合同总价的1%。</w:t>
      </w:r>
    </w:p>
    <w:p w14:paraId="6270A8BA">
      <w:pPr>
        <w:pStyle w:val="3"/>
        <w:keepNext w:val="0"/>
        <w:keepLines w:val="0"/>
        <w:widowControl/>
        <w:suppressLineNumbers w:val="0"/>
        <w:ind w:firstLine="320" w:firstLineChars="1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4.安全事故责任:因供应商维保不当、检测疏漏导致燃气泄漏未报警或误报的，供应商承担全部法律责任及赔偿费用。</w:t>
      </w:r>
    </w:p>
    <w:p w14:paraId="7130BFB3">
      <w:pPr>
        <w:pStyle w:val="3"/>
        <w:keepNext w:val="0"/>
        <w:keepLines w:val="0"/>
        <w:widowControl/>
        <w:suppressLineNumbers w:val="0"/>
        <w:ind w:firstLine="320" w:firstLineChars="1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5.合同解除:发生以下情形的，采购人有权单方解除合同：</w:t>
      </w:r>
    </w:p>
    <w:p w14:paraId="13DCF37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720" w:right="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（1）连续2次未按要求完成月度巡检；</w:t>
      </w:r>
    </w:p>
    <w:p w14:paraId="2138AD6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3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（2）因维保不当导致燃气泄漏事故；</w:t>
      </w:r>
    </w:p>
    <w:p w14:paraId="72299FE6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3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（3）使用假冒伪劣配件；</w:t>
      </w:r>
    </w:p>
    <w:p w14:paraId="1A9E0D0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300"/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32"/>
          <w:szCs w:val="32"/>
          <w:lang w:val="en-US" w:eastAsia="zh-CN" w:bidi="ar-SA"/>
        </w:rPr>
        <w:t>（4）擅自转包或分包本项目。</w:t>
      </w:r>
    </w:p>
    <w:p w14:paraId="01C8A14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</w:p>
    <w:p w14:paraId="24C9084E">
      <w:pPr>
        <w:spacing w:line="360" w:lineRule="auto"/>
        <w:rPr>
          <w:rFonts w:hint="default" w:ascii="宋体" w:hAnsi="宋体" w:eastAsia="宋体" w:cs="Times New Roman"/>
          <w:kern w:val="0"/>
          <w:sz w:val="32"/>
          <w:szCs w:val="32"/>
          <w:lang w:val="en-US" w:eastAsia="zh-CN" w:bidi="ar-SA"/>
        </w:rPr>
      </w:pPr>
    </w:p>
    <w:p w14:paraId="34087C17">
      <w:pPr>
        <w:spacing w:line="360" w:lineRule="auto"/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</w:p>
    <w:p w14:paraId="1EF610A2">
      <w:pPr>
        <w:spacing w:line="360" w:lineRule="auto"/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</w:p>
    <w:p w14:paraId="59065BE6">
      <w:pPr>
        <w:spacing w:line="360" w:lineRule="auto"/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</w:p>
    <w:p w14:paraId="3A3EA0AD">
      <w:pPr>
        <w:spacing w:line="360" w:lineRule="auto"/>
        <w:rPr>
          <w:rFonts w:hint="eastAsia" w:ascii="宋体" w:hAnsi="宋体" w:cs="宋体"/>
          <w:b/>
          <w:bCs/>
          <w:kern w:val="36"/>
          <w:sz w:val="28"/>
          <w:szCs w:val="28"/>
          <w:highlight w:val="none"/>
          <w:lang w:val="en-US" w:eastAsia="zh-CN" w:bidi="ar-SA"/>
        </w:rPr>
      </w:pPr>
    </w:p>
    <w:p w14:paraId="61F5472F">
      <w:pPr>
        <w:spacing w:line="360" w:lineRule="auto"/>
        <w:jc w:val="both"/>
        <w:rPr>
          <w:rFonts w:hint="eastAsia" w:ascii="宋体" w:hAnsi="宋体" w:eastAsia="宋体" w:cs="宋体"/>
          <w:b/>
          <w:bCs/>
          <w:kern w:val="36"/>
          <w:sz w:val="21"/>
          <w:szCs w:val="21"/>
          <w:highlight w:val="none"/>
          <w:lang w:val="zh-CN" w:eastAsia="zh-CN" w:bidi="ar-SA"/>
        </w:rPr>
      </w:pPr>
    </w:p>
    <w:p w14:paraId="4C31732C">
      <w:pPr>
        <w:spacing w:line="360" w:lineRule="auto"/>
        <w:ind w:firstLine="281" w:firstLineChars="100"/>
        <w:rPr>
          <w:rFonts w:hint="eastAsia" w:ascii="宋体" w:hAnsi="宋体" w:cs="宋体"/>
          <w:b/>
          <w:bCs/>
          <w:sz w:val="28"/>
          <w:szCs w:val="28"/>
          <w:highlight w:val="none"/>
          <w:u w:val="none"/>
          <w:lang w:val="en-US" w:eastAsia="zh-CN"/>
        </w:rPr>
      </w:pPr>
    </w:p>
    <w:p w14:paraId="10374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center"/>
        <w:textAlignment w:val="auto"/>
        <w:rPr>
          <w:rFonts w:hint="eastAsia" w:ascii="宋体" w:hAnsi="宋体" w:cs="宋体"/>
          <w:sz w:val="30"/>
          <w:szCs w:val="30"/>
          <w:lang w:val="en-US" w:eastAsia="zh-CN"/>
        </w:rPr>
      </w:pPr>
    </w:p>
    <w:p w14:paraId="6B229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校区燃气报警设施、设备明细</w:t>
      </w:r>
    </w:p>
    <w:tbl>
      <w:tblPr>
        <w:tblStyle w:val="7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802"/>
        <w:gridCol w:w="3632"/>
        <w:gridCol w:w="1884"/>
        <w:gridCol w:w="2281"/>
        <w:gridCol w:w="2281"/>
      </w:tblGrid>
      <w:tr w14:paraId="4E39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5AEF3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802" w:type="dxa"/>
          </w:tcPr>
          <w:p w14:paraId="3AEC2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内容</w:t>
            </w:r>
          </w:p>
        </w:tc>
        <w:tc>
          <w:tcPr>
            <w:tcW w:w="3632" w:type="dxa"/>
          </w:tcPr>
          <w:p w14:paraId="7D4CE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型号</w:t>
            </w:r>
          </w:p>
        </w:tc>
        <w:tc>
          <w:tcPr>
            <w:tcW w:w="1884" w:type="dxa"/>
          </w:tcPr>
          <w:p w14:paraId="4DEF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2281" w:type="dxa"/>
          </w:tcPr>
          <w:p w14:paraId="5B077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2281" w:type="dxa"/>
          </w:tcPr>
          <w:p w14:paraId="44122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cs="宋体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highlight w:val="yellow"/>
                <w:vertAlign w:val="baseline"/>
                <w:lang w:val="en-US" w:eastAsia="zh-CN"/>
              </w:rPr>
              <w:t>设备位置</w:t>
            </w:r>
          </w:p>
        </w:tc>
      </w:tr>
      <w:tr w14:paraId="5EBC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57AA5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一、</w:t>
            </w:r>
          </w:p>
        </w:tc>
        <w:tc>
          <w:tcPr>
            <w:tcW w:w="2802" w:type="dxa"/>
          </w:tcPr>
          <w:p w14:paraId="7C57F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中山西路校区</w:t>
            </w:r>
          </w:p>
        </w:tc>
        <w:tc>
          <w:tcPr>
            <w:tcW w:w="3632" w:type="dxa"/>
          </w:tcPr>
          <w:p w14:paraId="281AC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84" w:type="dxa"/>
          </w:tcPr>
          <w:p w14:paraId="041B0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 w14:paraId="58C72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 w14:paraId="35F60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5F5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21EB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66334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可燃气体报警主机</w:t>
            </w:r>
          </w:p>
        </w:tc>
        <w:tc>
          <w:tcPr>
            <w:tcW w:w="3632" w:type="dxa"/>
          </w:tcPr>
          <w:p w14:paraId="23081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SFJK-201、SFJK-200</w:t>
            </w:r>
          </w:p>
        </w:tc>
        <w:tc>
          <w:tcPr>
            <w:tcW w:w="1884" w:type="dxa"/>
          </w:tcPr>
          <w:p w14:paraId="2CF88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台</w:t>
            </w:r>
          </w:p>
        </w:tc>
        <w:tc>
          <w:tcPr>
            <w:tcW w:w="2281" w:type="dxa"/>
          </w:tcPr>
          <w:p w14:paraId="2682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51342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B7C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4976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2212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防爆气体探测点位</w:t>
            </w:r>
          </w:p>
        </w:tc>
        <w:tc>
          <w:tcPr>
            <w:tcW w:w="3632" w:type="dxa"/>
          </w:tcPr>
          <w:p w14:paraId="1862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GTQ-SF6100A</w:t>
            </w:r>
          </w:p>
        </w:tc>
        <w:tc>
          <w:tcPr>
            <w:tcW w:w="1884" w:type="dxa"/>
          </w:tcPr>
          <w:p w14:paraId="0BA50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2281" w:type="dxa"/>
          </w:tcPr>
          <w:p w14:paraId="0F2B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281" w:type="dxa"/>
          </w:tcPr>
          <w:p w14:paraId="1C44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FBB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1C5CE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2207B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联动控制箱</w:t>
            </w:r>
          </w:p>
        </w:tc>
        <w:tc>
          <w:tcPr>
            <w:tcW w:w="3632" w:type="dxa"/>
          </w:tcPr>
          <w:p w14:paraId="2B11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SFLDX-1200</w:t>
            </w:r>
          </w:p>
        </w:tc>
        <w:tc>
          <w:tcPr>
            <w:tcW w:w="1884" w:type="dxa"/>
          </w:tcPr>
          <w:p w14:paraId="14234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台</w:t>
            </w:r>
          </w:p>
        </w:tc>
        <w:tc>
          <w:tcPr>
            <w:tcW w:w="2281" w:type="dxa"/>
          </w:tcPr>
          <w:p w14:paraId="4C84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48262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303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2BD2F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2D912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防爆紧急切断阀</w:t>
            </w:r>
          </w:p>
        </w:tc>
        <w:tc>
          <w:tcPr>
            <w:tcW w:w="3632" w:type="dxa"/>
          </w:tcPr>
          <w:p w14:paraId="3F220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84" w:type="dxa"/>
          </w:tcPr>
          <w:p w14:paraId="5926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2281" w:type="dxa"/>
          </w:tcPr>
          <w:p w14:paraId="41996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50FA6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EB2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4549E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二</w:t>
            </w:r>
          </w:p>
        </w:tc>
        <w:tc>
          <w:tcPr>
            <w:tcW w:w="2802" w:type="dxa"/>
          </w:tcPr>
          <w:p w14:paraId="0025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奉浦校区</w:t>
            </w:r>
          </w:p>
        </w:tc>
        <w:tc>
          <w:tcPr>
            <w:tcW w:w="3632" w:type="dxa"/>
          </w:tcPr>
          <w:p w14:paraId="5C98A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84" w:type="dxa"/>
          </w:tcPr>
          <w:p w14:paraId="6B9C2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 w14:paraId="55E5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 w14:paraId="16E7C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8EF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178CC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3235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可燃气体报警主机</w:t>
            </w:r>
          </w:p>
        </w:tc>
        <w:tc>
          <w:tcPr>
            <w:tcW w:w="3632" w:type="dxa"/>
          </w:tcPr>
          <w:p w14:paraId="649E6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SFJK-201/SFJK-200</w:t>
            </w:r>
          </w:p>
        </w:tc>
        <w:tc>
          <w:tcPr>
            <w:tcW w:w="1884" w:type="dxa"/>
          </w:tcPr>
          <w:p w14:paraId="3D244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台</w:t>
            </w:r>
          </w:p>
        </w:tc>
        <w:tc>
          <w:tcPr>
            <w:tcW w:w="2281" w:type="dxa"/>
          </w:tcPr>
          <w:p w14:paraId="7F3E8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3E21E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6E1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77FC6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2F14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防爆气体探测点位</w:t>
            </w:r>
          </w:p>
        </w:tc>
        <w:tc>
          <w:tcPr>
            <w:tcW w:w="3632" w:type="dxa"/>
          </w:tcPr>
          <w:p w14:paraId="3CB7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GTQ-SF6100</w:t>
            </w:r>
          </w:p>
        </w:tc>
        <w:tc>
          <w:tcPr>
            <w:tcW w:w="1884" w:type="dxa"/>
          </w:tcPr>
          <w:p w14:paraId="1BC69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2281" w:type="dxa"/>
          </w:tcPr>
          <w:p w14:paraId="6534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41</w:t>
            </w:r>
          </w:p>
        </w:tc>
        <w:tc>
          <w:tcPr>
            <w:tcW w:w="2281" w:type="dxa"/>
          </w:tcPr>
          <w:p w14:paraId="54E57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DB8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6B66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656C8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联动控制箱</w:t>
            </w:r>
          </w:p>
        </w:tc>
        <w:tc>
          <w:tcPr>
            <w:tcW w:w="3632" w:type="dxa"/>
          </w:tcPr>
          <w:p w14:paraId="679A4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SFLDX-1200</w:t>
            </w:r>
          </w:p>
        </w:tc>
        <w:tc>
          <w:tcPr>
            <w:tcW w:w="1884" w:type="dxa"/>
          </w:tcPr>
          <w:p w14:paraId="405D3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台</w:t>
            </w:r>
          </w:p>
        </w:tc>
        <w:tc>
          <w:tcPr>
            <w:tcW w:w="2281" w:type="dxa"/>
          </w:tcPr>
          <w:p w14:paraId="4663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59D47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C77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70AA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02" w:type="dxa"/>
          </w:tcPr>
          <w:p w14:paraId="19CC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防爆紧急切断阀</w:t>
            </w:r>
          </w:p>
        </w:tc>
        <w:tc>
          <w:tcPr>
            <w:tcW w:w="3632" w:type="dxa"/>
          </w:tcPr>
          <w:p w14:paraId="7EE59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84" w:type="dxa"/>
          </w:tcPr>
          <w:p w14:paraId="6E442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2281" w:type="dxa"/>
          </w:tcPr>
          <w:p w14:paraId="4481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81" w:type="dxa"/>
          </w:tcPr>
          <w:p w14:paraId="117AF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ascii="宋体" w:hAnsi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20871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lef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2A449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left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00264"/>
    <w:multiLevelType w:val="singleLevel"/>
    <w:tmpl w:val="9A30026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C4B187"/>
    <w:multiLevelType w:val="singleLevel"/>
    <w:tmpl w:val="B3C4B18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E4C8396"/>
    <w:multiLevelType w:val="singleLevel"/>
    <w:tmpl w:val="3E4C839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hOTkzYThiOGQ0YzJjZDdhNDNmNjYxN2Q3NGQzZGYifQ=="/>
  </w:docVars>
  <w:rsids>
    <w:rsidRoot w:val="67FA4E13"/>
    <w:rsid w:val="0B0A76B9"/>
    <w:rsid w:val="0DB66DA8"/>
    <w:rsid w:val="12393FB6"/>
    <w:rsid w:val="14F43596"/>
    <w:rsid w:val="151A1845"/>
    <w:rsid w:val="1926139A"/>
    <w:rsid w:val="1BE45811"/>
    <w:rsid w:val="1FEE7987"/>
    <w:rsid w:val="226D129E"/>
    <w:rsid w:val="231A640E"/>
    <w:rsid w:val="262F52C0"/>
    <w:rsid w:val="2B13559E"/>
    <w:rsid w:val="3A703B96"/>
    <w:rsid w:val="3B50219A"/>
    <w:rsid w:val="3D4B3A56"/>
    <w:rsid w:val="3FF97B61"/>
    <w:rsid w:val="42987DC8"/>
    <w:rsid w:val="44AE227F"/>
    <w:rsid w:val="47604658"/>
    <w:rsid w:val="52374B1E"/>
    <w:rsid w:val="52F90D3C"/>
    <w:rsid w:val="57D601C4"/>
    <w:rsid w:val="61605AB5"/>
    <w:rsid w:val="634B1852"/>
    <w:rsid w:val="66854161"/>
    <w:rsid w:val="6783291F"/>
    <w:rsid w:val="67FA4E13"/>
    <w:rsid w:val="6BAF422F"/>
    <w:rsid w:val="6C9E6257"/>
    <w:rsid w:val="6EA70311"/>
    <w:rsid w:val="73104BF6"/>
    <w:rsid w:val="73383A70"/>
    <w:rsid w:val="74785DCF"/>
    <w:rsid w:val="7AA80499"/>
    <w:rsid w:val="7DFE65D4"/>
    <w:rsid w:val="7F6A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6"/>
    <w:basedOn w:val="1"/>
    <w:next w:val="1"/>
    <w:qFormat/>
    <w:uiPriority w:val="0"/>
    <w:pPr>
      <w:keepNext/>
      <w:keepLines/>
      <w:tabs>
        <w:tab w:val="left" w:pos="1572"/>
      </w:tabs>
      <w:spacing w:before="240" w:after="64" w:line="320" w:lineRule="auto"/>
      <w:ind w:left="1572" w:hanging="1152"/>
      <w:outlineLvl w:val="5"/>
    </w:pPr>
    <w:rPr>
      <w:rFonts w:ascii="Arial" w:hAnsi="Arial" w:eastAsia="黑体"/>
      <w:b/>
      <w:bCs/>
      <w:sz w:val="2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1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8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13">
    <w:name w:val="列出段落1"/>
    <w:basedOn w:val="1"/>
    <w:qFormat/>
    <w:uiPriority w:val="34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1693</Words>
  <Characters>1785</Characters>
  <Lines>0</Lines>
  <Paragraphs>0</Paragraphs>
  <TotalTime>8</TotalTime>
  <ScaleCrop>false</ScaleCrop>
  <LinksUpToDate>false</LinksUpToDate>
  <CharactersWithSpaces>1788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2022-05-23T01:10:00Z</dcterms:created>
  <dc:creator>Administrator</dc:creator>
  <cp:lastModifiedBy>苗华颖</cp:lastModifiedBy>
  <dcterms:modified xsi:type="dcterms:W3CDTF">2026-08-17T01:54:54Z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9CD82CFA862F485C8A6B0835BE1676F0_13</vt:lpwstr>
  </property>
  <property fmtid="{D5CDD505-2E9C-101B-9397-08002B2CF9AE}" pid="4" name="KSOTemplateDocerSaveRecord">
    <vt:lpwstr>eyJoZGlkIjoiMTVhOTkzYThiOGQ0YzJjZDdhNDNmNjYxN2Q3NGQzZGYiLCJ1c2VySWQiOiI2NTgzNDIwMTEifQ==</vt:lpwstr>
  </property>
</Properties>
</file>