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2CB94E">
      <w:pPr>
        <w:pStyle w:val="13"/>
        <w:numPr>
          <w:ilvl w:val="0"/>
          <w:numId w:val="0"/>
        </w:numPr>
        <w:spacing w:before="0" w:after="0"/>
        <w:jc w:val="center"/>
        <w:rPr>
          <w:rFonts w:hint="eastAsia" w:ascii="微软雅黑" w:hAnsi="微软雅黑" w:eastAsia="微软雅黑" w:cs="微软雅黑"/>
          <w:color w:val="0C0C0C"/>
          <w:sz w:val="36"/>
          <w:lang w:val="en-US" w:eastAsia="zh-CN" w:bidi="zh-CN"/>
        </w:rPr>
      </w:pPr>
      <w:r>
        <w:rPr>
          <w:rFonts w:hint="eastAsia" w:ascii="微软雅黑" w:hAnsi="微软雅黑" w:eastAsia="微软雅黑" w:cs="微软雅黑"/>
          <w:color w:val="0C0C0C"/>
          <w:sz w:val="36"/>
          <w:lang w:val="en-US" w:eastAsia="zh-CN" w:bidi="zh-CN"/>
        </w:rPr>
        <w:t>高职专业建设质量监测技术服务项目（三期）</w:t>
      </w:r>
    </w:p>
    <w:p w14:paraId="0660B06F">
      <w:pPr>
        <w:pStyle w:val="13"/>
        <w:numPr>
          <w:ilvl w:val="0"/>
          <w:numId w:val="0"/>
        </w:numPr>
        <w:spacing w:before="0" w:after="0"/>
        <w:jc w:val="center"/>
        <w:rPr>
          <w:rFonts w:hint="eastAsia" w:ascii="微软雅黑" w:hAnsi="微软雅黑" w:eastAsia="微软雅黑" w:cs="微软雅黑"/>
          <w:color w:val="0C0C0C"/>
          <w:sz w:val="21"/>
          <w:lang w:val="en-US" w:eastAsia="en-US" w:bidi="en-US"/>
        </w:rPr>
      </w:pPr>
      <w:r>
        <w:rPr>
          <w:rFonts w:hint="eastAsia" w:ascii="微软雅黑" w:hAnsi="微软雅黑" w:eastAsia="微软雅黑" w:cs="微软雅黑"/>
          <w:color w:val="0C0C0C"/>
          <w:sz w:val="36"/>
          <w:lang w:val="zh-CN" w:eastAsia="zh-CN" w:bidi="zh-CN"/>
        </w:rPr>
        <w:fldChar w:fldCharType="begin"/>
      </w:r>
      <w:r>
        <w:rPr>
          <w:rFonts w:hint="eastAsia" w:ascii="微软雅黑" w:hAnsi="微软雅黑" w:eastAsia="微软雅黑" w:cs="微软雅黑"/>
          <w:color w:val="0C0C0C"/>
          <w:sz w:val="36"/>
          <w:lang w:val="zh-CN" w:eastAsia="zh-CN" w:bidi="zh-CN"/>
        </w:rPr>
        <w:instrText xml:space="preserve"> MERGEFIELD chapter_zb_3 </w:instrText>
      </w:r>
      <w:r>
        <w:rPr>
          <w:rFonts w:hint="eastAsia" w:ascii="微软雅黑" w:hAnsi="微软雅黑" w:eastAsia="微软雅黑" w:cs="微软雅黑"/>
          <w:color w:val="0C0C0C"/>
          <w:sz w:val="36"/>
          <w:lang w:val="zh-CN" w:eastAsia="zh-CN" w:bidi="zh-CN"/>
        </w:rPr>
        <w:fldChar w:fldCharType="separate"/>
      </w:r>
      <w:r>
        <w:rPr>
          <w:rFonts w:hint="eastAsia" w:ascii="微软雅黑" w:hAnsi="微软雅黑" w:eastAsia="微软雅黑" w:cs="微软雅黑"/>
          <w:color w:val="0C0C0C"/>
          <w:sz w:val="36"/>
          <w:lang w:val="zh-CN" w:eastAsia="zh-CN" w:bidi="zh-CN"/>
        </w:rPr>
        <w:t>服务需求书</w:t>
      </w:r>
      <w:r>
        <w:rPr>
          <w:rFonts w:hint="eastAsia" w:ascii="微软雅黑" w:hAnsi="微软雅黑" w:eastAsia="微软雅黑" w:cs="微软雅黑"/>
          <w:color w:val="0C0C0C"/>
          <w:sz w:val="21"/>
          <w:lang w:val="en-US" w:eastAsia="en-US" w:bidi="en-US"/>
        </w:rPr>
        <w:fldChar w:fldCharType="end"/>
      </w:r>
    </w:p>
    <w:p w14:paraId="03F2C161">
      <w:pPr>
        <w:keepNext w:val="0"/>
        <w:keepLines w:val="0"/>
        <w:pageBreakBefore w:val="0"/>
        <w:widowControl w:val="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kinsoku/>
        <w:wordWrap/>
        <w:overflowPunct/>
        <w:topLinePunct w:val="0"/>
        <w:autoSpaceDE/>
        <w:autoSpaceDN/>
        <w:bidi w:val="0"/>
        <w:adjustRightInd/>
        <w:snapToGrid/>
        <w:spacing w:before="157" w:beforeLines="50" w:after="157" w:afterLines="50"/>
        <w:textAlignment w:val="auto"/>
        <w:rPr>
          <w:rFonts w:hint="eastAsia" w:ascii="微软雅黑" w:hAnsi="微软雅黑" w:eastAsia="微软雅黑" w:cs="微软雅黑"/>
          <w:b/>
          <w:color w:val="000000"/>
          <w:sz w:val="24"/>
          <w:szCs w:val="24"/>
          <w:lang w:val="zh-CN" w:eastAsia="zh-CN" w:bidi="zh-CN"/>
        </w:rPr>
      </w:pPr>
      <w:r>
        <w:rPr>
          <w:rFonts w:hint="eastAsia" w:ascii="微软雅黑" w:hAnsi="微软雅黑" w:eastAsia="微软雅黑" w:cs="微软雅黑"/>
          <w:b/>
          <w:color w:val="000000"/>
          <w:sz w:val="24"/>
          <w:szCs w:val="24"/>
          <w:lang w:val="zh-CN" w:eastAsia="zh-CN" w:bidi="zh-CN"/>
        </w:rPr>
        <w:t>一、项目概况</w:t>
      </w:r>
    </w:p>
    <w:p w14:paraId="7C9B8737">
      <w:pPr>
        <w:widowControl/>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ind w:firstLine="420"/>
        <w:jc w:val="left"/>
        <w:rPr>
          <w:rFonts w:hint="eastAsia" w:ascii="微软雅黑" w:hAnsi="微软雅黑" w:eastAsia="微软雅黑" w:cs="微软雅黑"/>
          <w:color w:val="000000"/>
          <w:sz w:val="24"/>
          <w:szCs w:val="24"/>
          <w:lang w:val="zh-CN" w:eastAsia="zh-CN" w:bidi="zh-CN"/>
        </w:rPr>
      </w:pPr>
      <w:r>
        <w:rPr>
          <w:rFonts w:hint="eastAsia" w:ascii="微软雅黑" w:hAnsi="微软雅黑" w:eastAsia="微软雅黑" w:cs="微软雅黑"/>
          <w:color w:val="000000"/>
          <w:sz w:val="24"/>
          <w:szCs w:val="24"/>
          <w:lang w:val="zh-CN" w:eastAsia="zh-CN" w:bidi="zh-CN"/>
        </w:rPr>
        <w:t>当前，上海市深入推进教育评估改革，对职业院校专业点建设质量提出了更高、更专业、更标准化的监测与管理要求。随着专业监测评审指标</w:t>
      </w:r>
      <w:r>
        <w:rPr>
          <w:rFonts w:hint="eastAsia" w:ascii="微软雅黑" w:hAnsi="微软雅黑" w:eastAsia="微软雅黑" w:cs="微软雅黑"/>
          <w:color w:val="000000"/>
          <w:sz w:val="24"/>
          <w:szCs w:val="24"/>
          <w:lang w:val="en-US" w:eastAsia="zh-CN" w:bidi="zh-CN"/>
        </w:rPr>
        <w:t>赋分</w:t>
      </w:r>
      <w:r>
        <w:rPr>
          <w:rFonts w:hint="eastAsia" w:ascii="微软雅黑" w:hAnsi="微软雅黑" w:eastAsia="微软雅黑" w:cs="微软雅黑"/>
          <w:color w:val="000000"/>
          <w:sz w:val="24"/>
          <w:szCs w:val="24"/>
          <w:lang w:val="zh-CN" w:eastAsia="zh-CN" w:bidi="zh-CN"/>
        </w:rPr>
        <w:t>体系的日趋成熟和完善，在现有专业建设质量监测</w:t>
      </w:r>
      <w:r>
        <w:rPr>
          <w:rFonts w:hint="eastAsia" w:ascii="微软雅黑" w:hAnsi="微软雅黑" w:eastAsia="微软雅黑" w:cs="微软雅黑"/>
          <w:color w:val="000000"/>
          <w:sz w:val="24"/>
          <w:szCs w:val="24"/>
          <w:lang w:val="en-US" w:eastAsia="zh-CN" w:bidi="zh-CN"/>
        </w:rPr>
        <w:t>平台</w:t>
      </w:r>
      <w:r>
        <w:rPr>
          <w:rFonts w:hint="eastAsia" w:ascii="微软雅黑" w:hAnsi="微软雅黑" w:eastAsia="微软雅黑" w:cs="微软雅黑"/>
          <w:color w:val="000000"/>
          <w:sz w:val="24"/>
          <w:szCs w:val="24"/>
          <w:lang w:val="zh-CN" w:eastAsia="zh-CN" w:bidi="zh-CN"/>
        </w:rPr>
        <w:t>具备数据采集功能的基础上，已具备推进数据深度整合与智能化分析的关键条件，以支撑更高效、精准的评估决策。</w:t>
      </w:r>
    </w:p>
    <w:p w14:paraId="53E7D562">
      <w:pPr>
        <w:widowControl/>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ind w:firstLine="420"/>
        <w:jc w:val="left"/>
        <w:rPr>
          <w:rFonts w:hint="eastAsia" w:ascii="微软雅黑" w:hAnsi="微软雅黑" w:eastAsia="微软雅黑" w:cs="微软雅黑"/>
          <w:color w:val="000000"/>
          <w:sz w:val="24"/>
          <w:szCs w:val="24"/>
          <w:lang w:val="zh-CN" w:eastAsia="zh-CN" w:bidi="zh-CN"/>
        </w:rPr>
      </w:pPr>
      <w:r>
        <w:rPr>
          <w:rFonts w:hint="eastAsia" w:ascii="微软雅黑" w:hAnsi="微软雅黑" w:eastAsia="微软雅黑" w:cs="微软雅黑"/>
          <w:color w:val="000000"/>
          <w:sz w:val="24"/>
          <w:szCs w:val="24"/>
          <w:lang w:val="zh-CN" w:eastAsia="zh-CN" w:bidi="zh-CN"/>
        </w:rPr>
        <w:t>基于此，亟需依托现有专业建设质量监测平台，部署与其成熟评估指标紧密契合的智能化赋分规则与监测服务，形成符合专业评估标准的数据处理能力，打造符合专业评估标准的信息化平台，为专业点建设质量的精准诊断、持续改进及管理决策提供坚实的数据依据，从而有效服务上海市职业院校专业建设水平的整体提升与职业教育高质量发展目标。</w:t>
      </w:r>
    </w:p>
    <w:p w14:paraId="5C772DB1">
      <w:pPr>
        <w:keepNext w:val="0"/>
        <w:keepLines w:val="0"/>
        <w:pageBreakBefore w:val="0"/>
        <w:widowControl w:val="0"/>
        <w:numPr>
          <w:ilvl w:val="0"/>
          <w:numId w:val="2"/>
        </w:num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kinsoku/>
        <w:wordWrap/>
        <w:overflowPunct/>
        <w:topLinePunct w:val="0"/>
        <w:autoSpaceDE/>
        <w:autoSpaceDN/>
        <w:bidi w:val="0"/>
        <w:adjustRightInd/>
        <w:snapToGrid/>
        <w:spacing w:before="157" w:beforeLines="50" w:after="313" w:afterLines="100"/>
        <w:textAlignment w:val="auto"/>
        <w:rPr>
          <w:rFonts w:hint="eastAsia" w:ascii="微软雅黑" w:hAnsi="微软雅黑" w:eastAsia="微软雅黑" w:cs="微软雅黑"/>
          <w:b/>
          <w:color w:val="000000"/>
          <w:sz w:val="24"/>
          <w:szCs w:val="24"/>
          <w:lang w:val="en-US" w:eastAsia="en-US" w:bidi="zh-CN"/>
        </w:rPr>
      </w:pPr>
      <w:r>
        <w:rPr>
          <w:rFonts w:hint="eastAsia" w:ascii="微软雅黑" w:hAnsi="微软雅黑" w:eastAsia="微软雅黑" w:cs="微软雅黑"/>
          <w:b/>
          <w:color w:val="000000"/>
          <w:sz w:val="24"/>
          <w:szCs w:val="24"/>
          <w:lang w:val="en-US" w:eastAsia="zh-CN" w:bidi="zh-CN"/>
        </w:rPr>
        <w:t>平台服务内容说明</w:t>
      </w:r>
    </w:p>
    <w:tbl>
      <w:tblPr>
        <w:tblStyle w:val="9"/>
        <w:tblW w:w="8301"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49"/>
        <w:gridCol w:w="1067"/>
        <w:gridCol w:w="1656"/>
        <w:gridCol w:w="4429"/>
      </w:tblGrid>
      <w:tr w14:paraId="2803BC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149" w:type="dxa"/>
            <w:shd w:val="clear" w:color="auto" w:fill="auto"/>
            <w:vAlign w:val="center"/>
          </w:tcPr>
          <w:p w14:paraId="252E42F1">
            <w:pPr>
              <w:keepNext w:val="0"/>
              <w:keepLines w:val="0"/>
              <w:pageBreakBefore w:val="0"/>
              <w:widowControl w:val="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b/>
                <w:color w:val="000000"/>
                <w:sz w:val="21"/>
                <w:szCs w:val="21"/>
                <w:lang w:val="zh-CN" w:eastAsia="zh-CN" w:bidi="zh-CN"/>
              </w:rPr>
            </w:pPr>
            <w:r>
              <w:rPr>
                <w:rFonts w:hint="eastAsia" w:ascii="微软雅黑" w:hAnsi="微软雅黑" w:eastAsia="微软雅黑" w:cs="微软雅黑"/>
                <w:b/>
                <w:color w:val="000000"/>
                <w:sz w:val="21"/>
                <w:szCs w:val="21"/>
                <w:lang w:val="zh-CN" w:eastAsia="zh-CN" w:bidi="zh-CN"/>
              </w:rPr>
              <w:t>系统平台</w:t>
            </w:r>
          </w:p>
        </w:tc>
        <w:tc>
          <w:tcPr>
            <w:tcW w:w="1067" w:type="dxa"/>
            <w:shd w:val="clear" w:color="auto" w:fill="auto"/>
            <w:vAlign w:val="center"/>
          </w:tcPr>
          <w:p w14:paraId="1C0B8788">
            <w:pPr>
              <w:keepNext w:val="0"/>
              <w:keepLines w:val="0"/>
              <w:pageBreakBefore w:val="0"/>
              <w:widowControl w:val="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b/>
                <w:color w:val="000000"/>
                <w:sz w:val="21"/>
                <w:szCs w:val="21"/>
                <w:lang w:val="zh-CN" w:eastAsia="zh-CN" w:bidi="zh-CN"/>
              </w:rPr>
            </w:pPr>
            <w:r>
              <w:rPr>
                <w:rFonts w:hint="eastAsia" w:ascii="微软雅黑" w:hAnsi="微软雅黑" w:eastAsia="微软雅黑" w:cs="微软雅黑"/>
                <w:b/>
                <w:color w:val="000000"/>
                <w:sz w:val="21"/>
                <w:szCs w:val="21"/>
                <w:lang w:val="zh-CN" w:eastAsia="zh-CN" w:bidi="zh-CN"/>
              </w:rPr>
              <w:t>一级模块</w:t>
            </w:r>
          </w:p>
        </w:tc>
        <w:tc>
          <w:tcPr>
            <w:tcW w:w="1656" w:type="dxa"/>
            <w:shd w:val="clear" w:color="auto" w:fill="auto"/>
            <w:vAlign w:val="center"/>
          </w:tcPr>
          <w:p w14:paraId="00889E44">
            <w:pPr>
              <w:keepNext w:val="0"/>
              <w:keepLines w:val="0"/>
              <w:pageBreakBefore w:val="0"/>
              <w:widowControl w:val="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b/>
                <w:color w:val="000000"/>
                <w:sz w:val="21"/>
                <w:szCs w:val="21"/>
                <w:lang w:val="zh-CN" w:eastAsia="zh-CN" w:bidi="zh-CN"/>
              </w:rPr>
            </w:pPr>
            <w:r>
              <w:rPr>
                <w:rFonts w:hint="eastAsia" w:ascii="微软雅黑" w:hAnsi="微软雅黑" w:eastAsia="微软雅黑" w:cs="微软雅黑"/>
                <w:b/>
                <w:color w:val="000000"/>
                <w:sz w:val="21"/>
                <w:szCs w:val="21"/>
                <w:lang w:val="zh-CN" w:eastAsia="zh-CN" w:bidi="zh-CN"/>
              </w:rPr>
              <w:t>二级模块</w:t>
            </w:r>
          </w:p>
        </w:tc>
        <w:tc>
          <w:tcPr>
            <w:tcW w:w="4429" w:type="dxa"/>
            <w:shd w:val="clear" w:color="auto" w:fill="auto"/>
            <w:vAlign w:val="center"/>
          </w:tcPr>
          <w:p w14:paraId="4A1925B1">
            <w:pPr>
              <w:keepNext w:val="0"/>
              <w:keepLines w:val="0"/>
              <w:pageBreakBefore w:val="0"/>
              <w:widowControl w:val="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b/>
                <w:color w:val="000000"/>
                <w:sz w:val="21"/>
                <w:szCs w:val="21"/>
                <w:lang w:val="zh-CN" w:eastAsia="zh-CN" w:bidi="zh-CN"/>
              </w:rPr>
            </w:pPr>
            <w:r>
              <w:rPr>
                <w:rFonts w:hint="eastAsia" w:ascii="微软雅黑" w:hAnsi="微软雅黑" w:eastAsia="微软雅黑" w:cs="微软雅黑"/>
                <w:b/>
                <w:color w:val="000000"/>
                <w:sz w:val="21"/>
                <w:szCs w:val="21"/>
                <w:lang w:val="zh-CN" w:eastAsia="zh-CN" w:bidi="zh-CN"/>
              </w:rPr>
              <w:t>需求说明</w:t>
            </w:r>
          </w:p>
        </w:tc>
      </w:tr>
      <w:tr w14:paraId="2C9781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trPr>
        <w:tc>
          <w:tcPr>
            <w:tcW w:w="1149" w:type="dxa"/>
            <w:vMerge w:val="restart"/>
            <w:shd w:val="clear" w:color="auto" w:fill="auto"/>
            <w:vAlign w:val="center"/>
          </w:tcPr>
          <w:p w14:paraId="45D61310">
            <w:pPr>
              <w:keepNext w:val="0"/>
              <w:keepLines w:val="0"/>
              <w:pageBreakBefore w:val="0"/>
              <w:widowControl w:val="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color w:val="000000"/>
                <w:sz w:val="21"/>
                <w:szCs w:val="21"/>
                <w:lang w:val="en-US" w:eastAsia="zh-CN" w:bidi="zh-CN"/>
              </w:rPr>
            </w:pPr>
            <w:r>
              <w:rPr>
                <w:rFonts w:hint="eastAsia" w:ascii="微软雅黑" w:hAnsi="微软雅黑" w:eastAsia="微软雅黑" w:cs="微软雅黑"/>
                <w:color w:val="000000"/>
                <w:sz w:val="21"/>
                <w:szCs w:val="21"/>
                <w:lang w:val="en-US" w:eastAsia="zh-CN" w:bidi="zh-CN"/>
              </w:rPr>
              <w:t>质量监测平台</w:t>
            </w:r>
          </w:p>
        </w:tc>
        <w:tc>
          <w:tcPr>
            <w:tcW w:w="1067" w:type="dxa"/>
            <w:vMerge w:val="restart"/>
            <w:shd w:val="clear" w:color="auto" w:fill="auto"/>
            <w:vAlign w:val="center"/>
          </w:tcPr>
          <w:p w14:paraId="721D26EA">
            <w:pPr>
              <w:keepNext w:val="0"/>
              <w:keepLines w:val="0"/>
              <w:pageBreakBefore w:val="0"/>
              <w:widowControl w:val="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color w:val="000000"/>
                <w:sz w:val="21"/>
                <w:szCs w:val="21"/>
                <w:lang w:val="en-US" w:eastAsia="zh-CN" w:bidi="zh-CN"/>
              </w:rPr>
            </w:pPr>
            <w:r>
              <w:rPr>
                <w:rFonts w:hint="eastAsia" w:ascii="微软雅黑" w:hAnsi="微软雅黑" w:eastAsia="微软雅黑" w:cs="微软雅黑"/>
                <w:color w:val="000000"/>
                <w:sz w:val="21"/>
                <w:szCs w:val="21"/>
                <w:lang w:val="en-US" w:eastAsia="zh-CN" w:bidi="zh-CN"/>
              </w:rPr>
              <w:t>智能计分管理</w:t>
            </w:r>
          </w:p>
        </w:tc>
        <w:tc>
          <w:tcPr>
            <w:tcW w:w="1656" w:type="dxa"/>
            <w:shd w:val="clear" w:color="auto" w:fill="auto"/>
            <w:vAlign w:val="center"/>
          </w:tcPr>
          <w:p w14:paraId="2B6BD20C">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leftChars="0" w:right="0" w:rightChars="0" w:firstLine="0" w:firstLineChars="0"/>
              <w:jc w:val="center"/>
              <w:textAlignment w:val="auto"/>
              <w:rPr>
                <w:rFonts w:hint="eastAsia" w:ascii="微软雅黑" w:hAnsi="微软雅黑" w:eastAsia="微软雅黑" w:cs="微软雅黑"/>
                <w:color w:val="000000"/>
                <w:sz w:val="21"/>
                <w:szCs w:val="21"/>
                <w:lang w:val="en-US" w:eastAsia="zh-CN" w:bidi="zh-CN"/>
              </w:rPr>
            </w:pPr>
            <w:r>
              <w:rPr>
                <w:rFonts w:hint="eastAsia" w:ascii="微软雅黑" w:hAnsi="微软雅黑" w:eastAsia="微软雅黑" w:cs="微软雅黑"/>
                <w:i w:val="0"/>
                <w:iCs w:val="0"/>
                <w:caps w:val="0"/>
                <w:color w:val="000000"/>
                <w:spacing w:val="0"/>
                <w:kern w:val="0"/>
                <w:sz w:val="21"/>
                <w:szCs w:val="21"/>
                <w:lang w:val="en-US" w:eastAsia="zh-CN" w:bidi="ar"/>
              </w:rPr>
              <w:t>自动赋分</w:t>
            </w:r>
          </w:p>
        </w:tc>
        <w:tc>
          <w:tcPr>
            <w:tcW w:w="4429" w:type="dxa"/>
            <w:shd w:val="clear" w:color="auto" w:fill="auto"/>
            <w:vAlign w:val="center"/>
          </w:tcPr>
          <w:p w14:paraId="29E635B2">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leftChars="0" w:right="0" w:rightChars="0" w:firstLine="0" w:firstLineChars="0"/>
              <w:jc w:val="left"/>
              <w:textAlignment w:val="auto"/>
              <w:rPr>
                <w:rFonts w:hint="eastAsia" w:ascii="微软雅黑" w:hAnsi="微软雅黑" w:eastAsia="微软雅黑" w:cs="微软雅黑"/>
                <w:color w:val="000000"/>
                <w:sz w:val="21"/>
                <w:szCs w:val="21"/>
                <w:lang w:val="zh-CN" w:eastAsia="zh-CN" w:bidi="zh-CN"/>
              </w:rPr>
            </w:pPr>
            <w:r>
              <w:rPr>
                <w:rFonts w:hint="eastAsia" w:ascii="微软雅黑" w:hAnsi="微软雅黑" w:eastAsia="微软雅黑" w:cs="微软雅黑"/>
                <w:i w:val="0"/>
                <w:iCs w:val="0"/>
                <w:caps w:val="0"/>
                <w:color w:val="000000"/>
                <w:spacing w:val="0"/>
                <w:kern w:val="0"/>
                <w:sz w:val="21"/>
                <w:szCs w:val="21"/>
                <w:lang w:val="en-US" w:eastAsia="zh-CN" w:bidi="ar"/>
              </w:rPr>
              <w:t>抓取专业点填报数据，按预设规则自动计算可量化指标的得分</w:t>
            </w:r>
          </w:p>
        </w:tc>
      </w:tr>
      <w:tr w14:paraId="77611B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atLeast"/>
        </w:trPr>
        <w:tc>
          <w:tcPr>
            <w:tcW w:w="1149" w:type="dxa"/>
            <w:vMerge w:val="continue"/>
            <w:shd w:val="clear" w:color="auto" w:fill="auto"/>
            <w:vAlign w:val="center"/>
          </w:tcPr>
          <w:p w14:paraId="1AC7AC4C">
            <w:pPr>
              <w:keepNext w:val="0"/>
              <w:keepLines w:val="0"/>
              <w:pageBreakBefore w:val="0"/>
              <w:widowControl w:val="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color w:val="000000"/>
                <w:sz w:val="21"/>
                <w:szCs w:val="21"/>
                <w:lang w:val="en-US" w:eastAsia="zh-CN" w:bidi="zh-CN"/>
              </w:rPr>
            </w:pPr>
          </w:p>
        </w:tc>
        <w:tc>
          <w:tcPr>
            <w:tcW w:w="1067" w:type="dxa"/>
            <w:vMerge w:val="continue"/>
            <w:shd w:val="clear" w:color="auto" w:fill="auto"/>
            <w:vAlign w:val="center"/>
          </w:tcPr>
          <w:p w14:paraId="21B4833B">
            <w:pPr>
              <w:keepNext w:val="0"/>
              <w:keepLines w:val="0"/>
              <w:pageBreakBefore w:val="0"/>
              <w:widowControl w:val="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color w:val="000000"/>
                <w:sz w:val="21"/>
                <w:szCs w:val="21"/>
                <w:lang w:val="en-US" w:eastAsia="zh-CN" w:bidi="zh-CN"/>
              </w:rPr>
            </w:pPr>
          </w:p>
        </w:tc>
        <w:tc>
          <w:tcPr>
            <w:tcW w:w="1656" w:type="dxa"/>
            <w:shd w:val="clear" w:color="auto" w:fill="auto"/>
            <w:vAlign w:val="center"/>
          </w:tcPr>
          <w:p w14:paraId="6490AEE7">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color w:val="000000"/>
                <w:sz w:val="21"/>
                <w:szCs w:val="21"/>
                <w:lang w:val="en-US" w:eastAsia="zh-CN" w:bidi="zh-CN"/>
              </w:rPr>
            </w:pPr>
            <w:r>
              <w:rPr>
                <w:rFonts w:hint="eastAsia" w:ascii="微软雅黑" w:hAnsi="微软雅黑" w:eastAsia="微软雅黑" w:cs="微软雅黑"/>
                <w:i w:val="0"/>
                <w:iCs w:val="0"/>
                <w:caps w:val="0"/>
                <w:spacing w:val="0"/>
                <w:sz w:val="21"/>
                <w:szCs w:val="21"/>
                <w:shd w:val="clear" w:fill="FFFFFF"/>
              </w:rPr>
              <w:t>规则解析</w:t>
            </w:r>
          </w:p>
        </w:tc>
        <w:tc>
          <w:tcPr>
            <w:tcW w:w="4429" w:type="dxa"/>
            <w:shd w:val="clear" w:color="auto" w:fill="auto"/>
            <w:vAlign w:val="center"/>
          </w:tcPr>
          <w:p w14:paraId="331D8D2E">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微软雅黑" w:hAnsi="微软雅黑" w:eastAsia="微软雅黑" w:cs="微软雅黑"/>
                <w:color w:val="000000"/>
                <w:sz w:val="21"/>
                <w:szCs w:val="21"/>
                <w:lang w:val="zh-CN" w:eastAsia="zh-CN" w:bidi="zh-CN"/>
              </w:rPr>
            </w:pPr>
            <w:r>
              <w:rPr>
                <w:rFonts w:hint="eastAsia" w:ascii="微软雅黑" w:hAnsi="微软雅黑" w:eastAsia="微软雅黑" w:cs="微软雅黑"/>
                <w:i w:val="0"/>
                <w:iCs w:val="0"/>
                <w:caps w:val="0"/>
                <w:spacing w:val="0"/>
                <w:sz w:val="21"/>
                <w:szCs w:val="21"/>
                <w:shd w:val="clear" w:fill="FFFFFF"/>
              </w:rPr>
              <w:t>自动执行复杂计算逻辑（四年平均值、比例换算、跨表计算）</w:t>
            </w:r>
          </w:p>
        </w:tc>
      </w:tr>
      <w:tr w14:paraId="6FA80F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149" w:type="dxa"/>
            <w:vMerge w:val="continue"/>
            <w:shd w:val="clear" w:color="auto" w:fill="auto"/>
            <w:vAlign w:val="center"/>
          </w:tcPr>
          <w:p w14:paraId="1BECB865">
            <w:pPr>
              <w:keepNext w:val="0"/>
              <w:keepLines w:val="0"/>
              <w:pageBreakBefore w:val="0"/>
              <w:widowControl w:val="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color w:val="000000"/>
                <w:sz w:val="21"/>
                <w:szCs w:val="21"/>
                <w:lang w:val="en-US" w:eastAsia="zh-CN" w:bidi="zh-CN"/>
              </w:rPr>
            </w:pPr>
          </w:p>
        </w:tc>
        <w:tc>
          <w:tcPr>
            <w:tcW w:w="1067" w:type="dxa"/>
            <w:vMerge w:val="continue"/>
            <w:shd w:val="clear" w:color="auto" w:fill="auto"/>
            <w:vAlign w:val="center"/>
          </w:tcPr>
          <w:p w14:paraId="5EEC683F">
            <w:pPr>
              <w:keepNext w:val="0"/>
              <w:keepLines w:val="0"/>
              <w:pageBreakBefore w:val="0"/>
              <w:widowControl w:val="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color w:val="000000"/>
                <w:sz w:val="21"/>
                <w:szCs w:val="21"/>
                <w:lang w:val="en-US" w:eastAsia="zh-CN" w:bidi="zh-CN"/>
              </w:rPr>
            </w:pPr>
          </w:p>
        </w:tc>
        <w:tc>
          <w:tcPr>
            <w:tcW w:w="1656" w:type="dxa"/>
            <w:shd w:val="clear" w:color="auto" w:fill="auto"/>
            <w:vAlign w:val="center"/>
          </w:tcPr>
          <w:p w14:paraId="6322C9C0">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color w:val="000000"/>
                <w:sz w:val="21"/>
                <w:szCs w:val="21"/>
                <w:lang w:val="en-US" w:eastAsia="zh-CN" w:bidi="zh-CN"/>
              </w:rPr>
            </w:pPr>
            <w:r>
              <w:rPr>
                <w:rFonts w:hint="eastAsia" w:ascii="微软雅黑" w:hAnsi="微软雅黑" w:eastAsia="微软雅黑" w:cs="微软雅黑"/>
                <w:i w:val="0"/>
                <w:iCs w:val="0"/>
                <w:caps w:val="0"/>
                <w:spacing w:val="0"/>
                <w:sz w:val="21"/>
                <w:szCs w:val="21"/>
                <w:shd w:val="clear" w:fill="FFFFFF"/>
              </w:rPr>
              <w:t>权重计算</w:t>
            </w:r>
          </w:p>
        </w:tc>
        <w:tc>
          <w:tcPr>
            <w:tcW w:w="4429" w:type="dxa"/>
            <w:shd w:val="clear" w:color="auto" w:fill="auto"/>
            <w:vAlign w:val="center"/>
          </w:tcPr>
          <w:p w14:paraId="1D0633B0">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微软雅黑" w:hAnsi="微软雅黑" w:eastAsia="微软雅黑" w:cs="微软雅黑"/>
                <w:color w:val="000000"/>
                <w:sz w:val="21"/>
                <w:szCs w:val="21"/>
                <w:lang w:val="zh-CN" w:eastAsia="zh-CN" w:bidi="zh-CN"/>
              </w:rPr>
            </w:pPr>
            <w:r>
              <w:rPr>
                <w:rFonts w:hint="eastAsia" w:ascii="微软雅黑" w:hAnsi="微软雅黑" w:eastAsia="微软雅黑" w:cs="微软雅黑"/>
                <w:i w:val="0"/>
                <w:iCs w:val="0"/>
                <w:caps w:val="0"/>
                <w:spacing w:val="0"/>
                <w:sz w:val="21"/>
                <w:szCs w:val="21"/>
                <w:shd w:val="clear" w:fill="FFFFFF"/>
              </w:rPr>
              <w:t>根据配置权重自动生成加权总分</w:t>
            </w:r>
          </w:p>
        </w:tc>
      </w:tr>
      <w:tr w14:paraId="049D19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149" w:type="dxa"/>
            <w:vMerge w:val="continue"/>
            <w:shd w:val="clear" w:color="auto" w:fill="auto"/>
            <w:vAlign w:val="center"/>
          </w:tcPr>
          <w:p w14:paraId="001E877E">
            <w:pPr>
              <w:keepNext w:val="0"/>
              <w:keepLines w:val="0"/>
              <w:pageBreakBefore w:val="0"/>
              <w:widowControl w:val="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color w:val="000000"/>
                <w:sz w:val="21"/>
                <w:szCs w:val="21"/>
                <w:lang w:val="en-US" w:eastAsia="zh-CN" w:bidi="zh-CN"/>
              </w:rPr>
            </w:pPr>
          </w:p>
        </w:tc>
        <w:tc>
          <w:tcPr>
            <w:tcW w:w="1067" w:type="dxa"/>
            <w:vMerge w:val="continue"/>
            <w:shd w:val="clear" w:color="auto" w:fill="auto"/>
            <w:vAlign w:val="center"/>
          </w:tcPr>
          <w:p w14:paraId="51042817">
            <w:pPr>
              <w:keepNext w:val="0"/>
              <w:keepLines w:val="0"/>
              <w:pageBreakBefore w:val="0"/>
              <w:widowControl w:val="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color w:val="000000"/>
                <w:sz w:val="21"/>
                <w:szCs w:val="21"/>
                <w:lang w:val="en-US" w:eastAsia="zh-CN" w:bidi="zh-CN"/>
              </w:rPr>
            </w:pPr>
          </w:p>
        </w:tc>
        <w:tc>
          <w:tcPr>
            <w:tcW w:w="1656" w:type="dxa"/>
            <w:shd w:val="clear" w:color="auto" w:fill="auto"/>
            <w:vAlign w:val="center"/>
          </w:tcPr>
          <w:p w14:paraId="5BF743A8">
            <w:pPr>
              <w:keepNext w:val="0"/>
              <w:keepLines w:val="0"/>
              <w:pageBreakBefore w:val="0"/>
              <w:kinsoku/>
              <w:wordWrap/>
              <w:overflowPunct/>
              <w:topLinePunct w:val="0"/>
              <w:autoSpaceDE/>
              <w:autoSpaceDN/>
              <w:bidi w:val="0"/>
              <w:adjustRightInd/>
              <w:snapToGrid w:val="0"/>
              <w:spacing w:line="240" w:lineRule="auto"/>
              <w:jc w:val="center"/>
              <w:textAlignment w:val="auto"/>
              <w:rPr>
                <w:rFonts w:hint="default" w:ascii="微软雅黑" w:hAnsi="微软雅黑" w:eastAsia="微软雅黑" w:cs="微软雅黑"/>
                <w:i w:val="0"/>
                <w:iCs w:val="0"/>
                <w:caps w:val="0"/>
                <w:spacing w:val="0"/>
                <w:sz w:val="21"/>
                <w:szCs w:val="21"/>
                <w:shd w:val="clear" w:fill="FFFFFF"/>
                <w:lang w:val="en-US" w:eastAsia="zh-CN"/>
              </w:rPr>
            </w:pPr>
            <w:r>
              <w:rPr>
                <w:rFonts w:hint="eastAsia" w:ascii="微软雅黑" w:hAnsi="微软雅黑" w:eastAsia="微软雅黑" w:cs="微软雅黑"/>
                <w:i w:val="0"/>
                <w:iCs w:val="0"/>
                <w:caps w:val="0"/>
                <w:spacing w:val="0"/>
                <w:sz w:val="21"/>
                <w:szCs w:val="21"/>
                <w:shd w:val="clear" w:fill="FFFFFF"/>
                <w:lang w:val="en-US" w:eastAsia="zh-CN"/>
              </w:rPr>
              <w:t>分数上传</w:t>
            </w:r>
          </w:p>
        </w:tc>
        <w:tc>
          <w:tcPr>
            <w:tcW w:w="4429" w:type="dxa"/>
            <w:shd w:val="clear" w:color="auto" w:fill="auto"/>
            <w:vAlign w:val="center"/>
          </w:tcPr>
          <w:p w14:paraId="1C01DA38">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微软雅黑" w:hAnsi="微软雅黑" w:eastAsia="微软雅黑" w:cs="微软雅黑"/>
                <w:i w:val="0"/>
                <w:iCs w:val="0"/>
                <w:caps w:val="0"/>
                <w:spacing w:val="0"/>
                <w:sz w:val="21"/>
                <w:szCs w:val="21"/>
                <w:shd w:val="clear" w:fill="FFFFFF"/>
              </w:rPr>
            </w:pPr>
            <w:r>
              <w:rPr>
                <w:rFonts w:hint="eastAsia" w:ascii="微软雅黑" w:hAnsi="微软雅黑" w:eastAsia="微软雅黑" w:cs="微软雅黑"/>
                <w:i w:val="0"/>
                <w:iCs w:val="0"/>
                <w:caps w:val="0"/>
                <w:spacing w:val="0"/>
                <w:sz w:val="21"/>
                <w:szCs w:val="21"/>
                <w:shd w:val="clear" w:fill="FFFFFF"/>
              </w:rPr>
              <w:t>提供专门功能模块，支持管理员将专家对另外无法通过平台自动计算的指标进行线下评审后得出的分数上传至平台</w:t>
            </w:r>
          </w:p>
        </w:tc>
      </w:tr>
      <w:tr w14:paraId="3C3861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9" w:type="dxa"/>
            <w:vMerge w:val="continue"/>
            <w:shd w:val="clear" w:color="auto" w:fill="auto"/>
            <w:vAlign w:val="center"/>
          </w:tcPr>
          <w:p w14:paraId="729D58FC">
            <w:pPr>
              <w:keepNext w:val="0"/>
              <w:keepLines w:val="0"/>
              <w:pageBreakBefore w:val="0"/>
              <w:widowControl w:val="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color w:val="000000"/>
                <w:sz w:val="21"/>
                <w:szCs w:val="21"/>
                <w:lang w:val="en-US" w:eastAsia="zh-CN" w:bidi="zh-CN"/>
              </w:rPr>
            </w:pPr>
          </w:p>
        </w:tc>
        <w:tc>
          <w:tcPr>
            <w:tcW w:w="1067" w:type="dxa"/>
            <w:vMerge w:val="restart"/>
            <w:shd w:val="clear" w:color="auto" w:fill="auto"/>
            <w:vAlign w:val="center"/>
          </w:tcPr>
          <w:p w14:paraId="2038F485">
            <w:pPr>
              <w:keepNext w:val="0"/>
              <w:keepLines w:val="0"/>
              <w:pageBreakBefore w:val="0"/>
              <w:widowControl w:val="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color w:val="000000"/>
                <w:sz w:val="21"/>
                <w:szCs w:val="21"/>
                <w:lang w:val="en-US" w:eastAsia="zh-CN" w:bidi="zh-CN"/>
              </w:rPr>
            </w:pPr>
            <w:r>
              <w:rPr>
                <w:rFonts w:hint="eastAsia" w:ascii="微软雅黑" w:hAnsi="微软雅黑" w:eastAsia="微软雅黑" w:cs="微软雅黑"/>
                <w:color w:val="000000"/>
                <w:sz w:val="21"/>
                <w:szCs w:val="21"/>
                <w:lang w:val="en-US" w:eastAsia="zh-CN" w:bidi="zh-CN"/>
              </w:rPr>
              <w:t>参评管理</w:t>
            </w:r>
          </w:p>
        </w:tc>
        <w:tc>
          <w:tcPr>
            <w:tcW w:w="1656" w:type="dxa"/>
            <w:shd w:val="clear" w:color="auto" w:fill="auto"/>
            <w:vAlign w:val="center"/>
          </w:tcPr>
          <w:p w14:paraId="56CC9367">
            <w:pPr>
              <w:keepNext w:val="0"/>
              <w:keepLines w:val="0"/>
              <w:pageBreakBefore w:val="0"/>
              <w:widowControl w:val="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color w:val="000000"/>
                <w:sz w:val="21"/>
                <w:szCs w:val="21"/>
                <w:lang w:val="zh-CN" w:eastAsia="zh-CN" w:bidi="zh-CN"/>
              </w:rPr>
            </w:pPr>
            <w:r>
              <w:rPr>
                <w:rFonts w:hint="eastAsia" w:ascii="微软雅黑" w:hAnsi="微软雅黑" w:eastAsia="微软雅黑" w:cs="微软雅黑"/>
                <w:i w:val="0"/>
                <w:iCs w:val="0"/>
                <w:caps w:val="0"/>
                <w:spacing w:val="0"/>
                <w:sz w:val="21"/>
                <w:szCs w:val="21"/>
                <w:shd w:val="clear" w:fill="FFFFFF"/>
              </w:rPr>
              <w:t>动态参评</w:t>
            </w:r>
          </w:p>
        </w:tc>
        <w:tc>
          <w:tcPr>
            <w:tcW w:w="4429" w:type="dxa"/>
            <w:shd w:val="clear" w:color="auto" w:fill="auto"/>
            <w:vAlign w:val="center"/>
          </w:tcPr>
          <w:p w14:paraId="2259D061">
            <w:pPr>
              <w:keepNext w:val="0"/>
              <w:keepLines w:val="0"/>
              <w:pageBreakBefore w:val="0"/>
              <w:widowControl w:val="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kinsoku/>
              <w:wordWrap/>
              <w:overflowPunct/>
              <w:topLinePunct w:val="0"/>
              <w:autoSpaceDE/>
              <w:autoSpaceDN/>
              <w:bidi w:val="0"/>
              <w:adjustRightInd/>
              <w:snapToGrid w:val="0"/>
              <w:spacing w:line="240" w:lineRule="auto"/>
              <w:textAlignment w:val="auto"/>
              <w:rPr>
                <w:rFonts w:hint="eastAsia" w:ascii="微软雅黑" w:hAnsi="微软雅黑" w:eastAsia="微软雅黑" w:cs="微软雅黑"/>
                <w:color w:val="000000"/>
                <w:sz w:val="21"/>
                <w:szCs w:val="21"/>
                <w:lang w:val="zh-CN" w:eastAsia="zh-CN" w:bidi="zh-CN"/>
              </w:rPr>
            </w:pPr>
            <w:r>
              <w:rPr>
                <w:rFonts w:hint="eastAsia" w:ascii="微软雅黑" w:hAnsi="微软雅黑" w:eastAsia="微软雅黑" w:cs="微软雅黑"/>
                <w:i w:val="0"/>
                <w:iCs w:val="0"/>
                <w:caps w:val="0"/>
                <w:spacing w:val="0"/>
                <w:sz w:val="21"/>
                <w:szCs w:val="21"/>
                <w:shd w:val="clear" w:fill="FFFFFF"/>
              </w:rPr>
              <w:t>允许从核心指标勾选实际参评项</w:t>
            </w:r>
          </w:p>
        </w:tc>
      </w:tr>
      <w:tr w14:paraId="68A95D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9" w:type="dxa"/>
            <w:vMerge w:val="continue"/>
            <w:shd w:val="clear" w:color="auto" w:fill="auto"/>
            <w:vAlign w:val="center"/>
          </w:tcPr>
          <w:p w14:paraId="5688ABCB">
            <w:pPr>
              <w:keepNext w:val="0"/>
              <w:keepLines w:val="0"/>
              <w:pageBreakBefore w:val="0"/>
              <w:widowControl w:val="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sz w:val="21"/>
                <w:szCs w:val="21"/>
              </w:rPr>
            </w:pPr>
          </w:p>
        </w:tc>
        <w:tc>
          <w:tcPr>
            <w:tcW w:w="1067" w:type="dxa"/>
            <w:vMerge w:val="continue"/>
            <w:tcBorders>
              <w:top w:val="nil"/>
            </w:tcBorders>
            <w:shd w:val="clear" w:color="auto" w:fill="auto"/>
            <w:vAlign w:val="center"/>
          </w:tcPr>
          <w:p w14:paraId="0F7BD0F5">
            <w:pPr>
              <w:keepNext w:val="0"/>
              <w:keepLines w:val="0"/>
              <w:pageBreakBefore w:val="0"/>
              <w:widowControl w:val="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sz w:val="21"/>
                <w:szCs w:val="21"/>
              </w:rPr>
            </w:pPr>
          </w:p>
        </w:tc>
        <w:tc>
          <w:tcPr>
            <w:tcW w:w="1656" w:type="dxa"/>
            <w:shd w:val="clear" w:color="auto" w:fill="auto"/>
            <w:vAlign w:val="center"/>
          </w:tcPr>
          <w:p w14:paraId="2370D69C">
            <w:pPr>
              <w:keepNext w:val="0"/>
              <w:keepLines w:val="0"/>
              <w:pageBreakBefore w:val="0"/>
              <w:widowControl w:val="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color w:val="000000"/>
                <w:sz w:val="21"/>
                <w:szCs w:val="21"/>
                <w:lang w:val="en-US" w:eastAsia="zh-CN" w:bidi="zh-CN"/>
              </w:rPr>
            </w:pPr>
            <w:r>
              <w:rPr>
                <w:rFonts w:hint="eastAsia" w:ascii="微软雅黑" w:hAnsi="微软雅黑" w:eastAsia="微软雅黑" w:cs="微软雅黑"/>
                <w:color w:val="000000"/>
                <w:sz w:val="21"/>
                <w:szCs w:val="21"/>
                <w:lang w:val="en-US" w:eastAsia="zh-CN" w:bidi="zh-CN"/>
              </w:rPr>
              <w:t>跨年兼容</w:t>
            </w:r>
          </w:p>
        </w:tc>
        <w:tc>
          <w:tcPr>
            <w:tcW w:w="4429" w:type="dxa"/>
            <w:shd w:val="clear" w:color="auto" w:fill="auto"/>
            <w:vAlign w:val="center"/>
          </w:tcPr>
          <w:p w14:paraId="5984D8DD">
            <w:pPr>
              <w:keepNext w:val="0"/>
              <w:keepLines w:val="0"/>
              <w:pageBreakBefore w:val="0"/>
              <w:widowControl w:val="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kinsoku/>
              <w:wordWrap/>
              <w:overflowPunct/>
              <w:topLinePunct w:val="0"/>
              <w:autoSpaceDE/>
              <w:autoSpaceDN/>
              <w:bidi w:val="0"/>
              <w:adjustRightInd/>
              <w:snapToGrid w:val="0"/>
              <w:spacing w:line="240" w:lineRule="auto"/>
              <w:textAlignment w:val="auto"/>
              <w:rPr>
                <w:rFonts w:hint="eastAsia" w:ascii="微软雅黑" w:hAnsi="微软雅黑" w:eastAsia="微软雅黑" w:cs="微软雅黑"/>
                <w:color w:val="000000"/>
                <w:sz w:val="21"/>
                <w:szCs w:val="21"/>
                <w:lang w:val="zh-CN" w:eastAsia="zh-CN" w:bidi="zh-CN"/>
              </w:rPr>
            </w:pPr>
            <w:r>
              <w:rPr>
                <w:rFonts w:hint="eastAsia" w:ascii="微软雅黑" w:hAnsi="微软雅黑" w:eastAsia="微软雅黑" w:cs="微软雅黑"/>
                <w:color w:val="000000"/>
                <w:sz w:val="21"/>
                <w:szCs w:val="21"/>
                <w:lang w:val="zh-CN" w:eastAsia="zh-CN" w:bidi="zh-CN"/>
              </w:rPr>
              <w:t>支持年度参评项变化，确保历史数据无冲突</w:t>
            </w:r>
          </w:p>
        </w:tc>
      </w:tr>
      <w:tr w14:paraId="4BC17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trPr>
        <w:tc>
          <w:tcPr>
            <w:tcW w:w="1149" w:type="dxa"/>
            <w:vMerge w:val="continue"/>
            <w:shd w:val="clear" w:color="auto" w:fill="auto"/>
            <w:vAlign w:val="center"/>
          </w:tcPr>
          <w:p w14:paraId="2790CB2F">
            <w:pPr>
              <w:keepNext w:val="0"/>
              <w:keepLines w:val="0"/>
              <w:pageBreakBefore w:val="0"/>
              <w:widowControl w:val="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sz w:val="21"/>
                <w:szCs w:val="21"/>
              </w:rPr>
            </w:pPr>
          </w:p>
        </w:tc>
        <w:tc>
          <w:tcPr>
            <w:tcW w:w="1067" w:type="dxa"/>
            <w:vMerge w:val="restart"/>
            <w:shd w:val="clear" w:color="auto" w:fill="auto"/>
            <w:vAlign w:val="center"/>
          </w:tcPr>
          <w:p w14:paraId="04D10B9F">
            <w:pPr>
              <w:keepNext w:val="0"/>
              <w:keepLines w:val="0"/>
              <w:pageBreakBefore w:val="0"/>
              <w:widowControl w:val="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color w:val="000000"/>
                <w:sz w:val="21"/>
                <w:szCs w:val="21"/>
                <w:lang w:val="en-US" w:eastAsia="zh-CN" w:bidi="zh-CN"/>
              </w:rPr>
            </w:pPr>
            <w:r>
              <w:rPr>
                <w:rFonts w:hint="eastAsia" w:ascii="微软雅黑" w:hAnsi="微软雅黑" w:eastAsia="微软雅黑" w:cs="微软雅黑"/>
                <w:color w:val="000000"/>
                <w:sz w:val="21"/>
                <w:szCs w:val="21"/>
                <w:lang w:val="en-US" w:eastAsia="zh-CN" w:bidi="zh-CN"/>
              </w:rPr>
              <w:t>系统保障</w:t>
            </w:r>
          </w:p>
        </w:tc>
        <w:tc>
          <w:tcPr>
            <w:tcW w:w="1656" w:type="dxa"/>
            <w:shd w:val="clear" w:color="auto" w:fill="auto"/>
            <w:vAlign w:val="center"/>
          </w:tcPr>
          <w:p w14:paraId="67221EFA">
            <w:pPr>
              <w:keepNext w:val="0"/>
              <w:keepLines w:val="0"/>
              <w:pageBreakBefore w:val="0"/>
              <w:widowControl w:val="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color w:val="000000"/>
                <w:sz w:val="21"/>
                <w:szCs w:val="21"/>
                <w:lang w:val="en-US" w:eastAsia="zh-CN" w:bidi="zh-CN"/>
              </w:rPr>
            </w:pPr>
            <w:r>
              <w:rPr>
                <w:rFonts w:hint="eastAsia" w:ascii="微软雅黑" w:hAnsi="微软雅黑" w:eastAsia="微软雅黑" w:cs="微软雅黑"/>
                <w:color w:val="000000"/>
                <w:sz w:val="21"/>
                <w:szCs w:val="21"/>
                <w:lang w:val="en-US" w:eastAsia="zh-CN" w:bidi="zh-CN"/>
              </w:rPr>
              <w:t>应急响应</w:t>
            </w:r>
          </w:p>
        </w:tc>
        <w:tc>
          <w:tcPr>
            <w:tcW w:w="4429" w:type="dxa"/>
            <w:shd w:val="clear" w:color="auto" w:fill="auto"/>
            <w:vAlign w:val="center"/>
          </w:tcPr>
          <w:p w14:paraId="65046959">
            <w:pPr>
              <w:keepNext w:val="0"/>
              <w:keepLines w:val="0"/>
              <w:pageBreakBefore w:val="0"/>
              <w:widowControl w:val="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kinsoku/>
              <w:wordWrap/>
              <w:overflowPunct/>
              <w:topLinePunct w:val="0"/>
              <w:autoSpaceDE/>
              <w:autoSpaceDN/>
              <w:bidi w:val="0"/>
              <w:adjustRightInd/>
              <w:snapToGrid w:val="0"/>
              <w:spacing w:line="240" w:lineRule="auto"/>
              <w:textAlignment w:val="auto"/>
              <w:rPr>
                <w:rFonts w:hint="eastAsia" w:ascii="微软雅黑" w:hAnsi="微软雅黑" w:eastAsia="微软雅黑" w:cs="微软雅黑"/>
                <w:color w:val="000000"/>
                <w:sz w:val="21"/>
                <w:szCs w:val="21"/>
                <w:lang w:val="zh-CN" w:eastAsia="zh-CN" w:bidi="zh-CN"/>
              </w:rPr>
            </w:pPr>
            <w:r>
              <w:rPr>
                <w:rFonts w:hint="eastAsia" w:ascii="微软雅黑" w:hAnsi="微软雅黑" w:eastAsia="微软雅黑" w:cs="微软雅黑"/>
                <w:color w:val="000000"/>
                <w:sz w:val="21"/>
                <w:szCs w:val="21"/>
                <w:lang w:val="zh-CN" w:eastAsia="zh-CN" w:bidi="zh-CN"/>
              </w:rPr>
              <w:t>迅速响应并定位问题，提供书面解决方案</w:t>
            </w:r>
          </w:p>
        </w:tc>
      </w:tr>
      <w:tr w14:paraId="478B57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149" w:type="dxa"/>
            <w:vMerge w:val="continue"/>
            <w:shd w:val="clear" w:color="auto" w:fill="auto"/>
            <w:vAlign w:val="center"/>
          </w:tcPr>
          <w:p w14:paraId="3A25C3DC">
            <w:pPr>
              <w:keepNext w:val="0"/>
              <w:keepLines w:val="0"/>
              <w:pageBreakBefore w:val="0"/>
              <w:widowControl w:val="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sz w:val="21"/>
                <w:szCs w:val="21"/>
              </w:rPr>
            </w:pPr>
          </w:p>
        </w:tc>
        <w:tc>
          <w:tcPr>
            <w:tcW w:w="1067" w:type="dxa"/>
            <w:vMerge w:val="continue"/>
            <w:shd w:val="clear" w:color="auto" w:fill="auto"/>
            <w:vAlign w:val="center"/>
          </w:tcPr>
          <w:p w14:paraId="4CA13DD5">
            <w:pPr>
              <w:keepNext w:val="0"/>
              <w:keepLines w:val="0"/>
              <w:pageBreakBefore w:val="0"/>
              <w:widowControl w:val="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color w:val="000000"/>
                <w:sz w:val="21"/>
                <w:szCs w:val="21"/>
                <w:lang w:val="en-US" w:eastAsia="zh-CN" w:bidi="zh-CN"/>
              </w:rPr>
            </w:pPr>
          </w:p>
        </w:tc>
        <w:tc>
          <w:tcPr>
            <w:tcW w:w="1656" w:type="dxa"/>
            <w:shd w:val="clear" w:color="auto" w:fill="auto"/>
            <w:vAlign w:val="center"/>
          </w:tcPr>
          <w:p w14:paraId="6DA44281">
            <w:pPr>
              <w:keepNext w:val="0"/>
              <w:keepLines w:val="0"/>
              <w:pageBreakBefore w:val="0"/>
              <w:widowControl w:val="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color w:val="000000"/>
                <w:sz w:val="21"/>
                <w:szCs w:val="21"/>
                <w:lang w:val="en-US" w:eastAsia="zh-CN" w:bidi="zh-CN"/>
              </w:rPr>
            </w:pPr>
            <w:r>
              <w:rPr>
                <w:rFonts w:hint="eastAsia" w:ascii="微软雅黑" w:hAnsi="微软雅黑" w:eastAsia="微软雅黑" w:cs="微软雅黑"/>
                <w:color w:val="000000"/>
                <w:sz w:val="21"/>
                <w:szCs w:val="21"/>
                <w:lang w:val="en-US" w:eastAsia="zh-CN" w:bidi="zh-CN"/>
              </w:rPr>
              <w:t>数据安全</w:t>
            </w:r>
          </w:p>
        </w:tc>
        <w:tc>
          <w:tcPr>
            <w:tcW w:w="4429" w:type="dxa"/>
            <w:shd w:val="clear" w:color="auto" w:fill="auto"/>
            <w:vAlign w:val="center"/>
          </w:tcPr>
          <w:p w14:paraId="0DBFF9F3">
            <w:pPr>
              <w:keepNext w:val="0"/>
              <w:keepLines w:val="0"/>
              <w:pageBreakBefore w:val="0"/>
              <w:widowControl w:val="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kinsoku/>
              <w:wordWrap/>
              <w:overflowPunct/>
              <w:topLinePunct w:val="0"/>
              <w:autoSpaceDE/>
              <w:autoSpaceDN/>
              <w:bidi w:val="0"/>
              <w:adjustRightInd/>
              <w:snapToGrid w:val="0"/>
              <w:spacing w:line="240" w:lineRule="auto"/>
              <w:textAlignment w:val="auto"/>
              <w:rPr>
                <w:rFonts w:hint="eastAsia" w:ascii="微软雅黑" w:hAnsi="微软雅黑" w:eastAsia="微软雅黑" w:cs="微软雅黑"/>
                <w:color w:val="000000"/>
                <w:sz w:val="21"/>
                <w:szCs w:val="21"/>
                <w:lang w:val="zh-CN" w:eastAsia="zh-CN" w:bidi="zh-CN"/>
              </w:rPr>
            </w:pPr>
            <w:r>
              <w:rPr>
                <w:rFonts w:hint="eastAsia" w:ascii="微软雅黑" w:hAnsi="微软雅黑" w:eastAsia="微软雅黑" w:cs="微软雅黑"/>
                <w:i w:val="0"/>
                <w:iCs w:val="0"/>
                <w:caps w:val="0"/>
                <w:spacing w:val="0"/>
                <w:sz w:val="21"/>
                <w:szCs w:val="21"/>
                <w:shd w:val="clear" w:fill="FFFFFF"/>
              </w:rPr>
              <w:t>沿用现有数据结构，保障历史数据完整，敏感操作留痕</w:t>
            </w:r>
          </w:p>
        </w:tc>
      </w:tr>
      <w:tr w14:paraId="5A9C83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149" w:type="dxa"/>
            <w:vMerge w:val="continue"/>
            <w:shd w:val="clear" w:color="auto" w:fill="auto"/>
            <w:vAlign w:val="center"/>
          </w:tcPr>
          <w:p w14:paraId="1106F247">
            <w:pPr>
              <w:keepNext w:val="0"/>
              <w:keepLines w:val="0"/>
              <w:pageBreakBefore w:val="0"/>
              <w:widowControl w:val="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sz w:val="21"/>
                <w:szCs w:val="21"/>
              </w:rPr>
            </w:pPr>
          </w:p>
        </w:tc>
        <w:tc>
          <w:tcPr>
            <w:tcW w:w="1067" w:type="dxa"/>
            <w:vMerge w:val="restart"/>
            <w:shd w:val="clear" w:color="auto" w:fill="auto"/>
            <w:vAlign w:val="center"/>
          </w:tcPr>
          <w:p w14:paraId="03B652AF">
            <w:pPr>
              <w:keepNext w:val="0"/>
              <w:keepLines w:val="0"/>
              <w:pageBreakBefore w:val="0"/>
              <w:widowControl w:val="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kinsoku/>
              <w:wordWrap/>
              <w:overflowPunct/>
              <w:topLinePunct w:val="0"/>
              <w:autoSpaceDE/>
              <w:autoSpaceDN/>
              <w:bidi w:val="0"/>
              <w:adjustRightInd/>
              <w:snapToGrid w:val="0"/>
              <w:spacing w:line="240" w:lineRule="auto"/>
              <w:jc w:val="center"/>
              <w:textAlignment w:val="auto"/>
              <w:rPr>
                <w:rFonts w:hint="default" w:ascii="微软雅黑" w:hAnsi="微软雅黑" w:eastAsia="微软雅黑" w:cs="微软雅黑"/>
                <w:color w:val="000000"/>
                <w:sz w:val="21"/>
                <w:szCs w:val="21"/>
                <w:lang w:val="en-US" w:eastAsia="zh-CN" w:bidi="zh-CN"/>
              </w:rPr>
            </w:pPr>
            <w:r>
              <w:rPr>
                <w:rFonts w:hint="eastAsia" w:ascii="微软雅黑" w:hAnsi="微软雅黑" w:eastAsia="微软雅黑" w:cs="微软雅黑"/>
                <w:color w:val="000000"/>
                <w:sz w:val="21"/>
                <w:szCs w:val="21"/>
                <w:lang w:val="en-US" w:eastAsia="zh-CN" w:bidi="zh-CN"/>
              </w:rPr>
              <w:t>人工服务支持</w:t>
            </w:r>
          </w:p>
        </w:tc>
        <w:tc>
          <w:tcPr>
            <w:tcW w:w="1656" w:type="dxa"/>
            <w:shd w:val="clear" w:color="auto" w:fill="auto"/>
            <w:vAlign w:val="center"/>
          </w:tcPr>
          <w:p w14:paraId="6D572841">
            <w:pPr>
              <w:keepNext w:val="0"/>
              <w:keepLines w:val="0"/>
              <w:pageBreakBefore w:val="0"/>
              <w:widowControl w:val="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kinsoku/>
              <w:wordWrap/>
              <w:overflowPunct/>
              <w:topLinePunct w:val="0"/>
              <w:autoSpaceDE/>
              <w:autoSpaceDN/>
              <w:bidi w:val="0"/>
              <w:adjustRightInd/>
              <w:snapToGrid w:val="0"/>
              <w:spacing w:line="240" w:lineRule="auto"/>
              <w:jc w:val="center"/>
              <w:textAlignment w:val="auto"/>
              <w:rPr>
                <w:rFonts w:hint="default" w:ascii="微软雅黑" w:hAnsi="微软雅黑" w:eastAsia="微软雅黑" w:cs="微软雅黑"/>
                <w:color w:val="000000"/>
                <w:sz w:val="21"/>
                <w:szCs w:val="21"/>
                <w:lang w:val="en-US" w:eastAsia="zh-CN" w:bidi="zh-CN"/>
              </w:rPr>
            </w:pPr>
            <w:r>
              <w:rPr>
                <w:rFonts w:hint="eastAsia" w:ascii="微软雅黑" w:hAnsi="微软雅黑" w:eastAsia="微软雅黑" w:cs="微软雅黑"/>
                <w:color w:val="000000"/>
                <w:sz w:val="21"/>
                <w:szCs w:val="21"/>
                <w:lang w:val="en-US" w:eastAsia="zh-CN" w:bidi="zh-CN"/>
              </w:rPr>
              <w:t>平台操作支持</w:t>
            </w:r>
          </w:p>
        </w:tc>
        <w:tc>
          <w:tcPr>
            <w:tcW w:w="4429" w:type="dxa"/>
            <w:shd w:val="clear" w:color="auto" w:fill="auto"/>
            <w:vAlign w:val="center"/>
          </w:tcPr>
          <w:p w14:paraId="3538C006">
            <w:pPr>
              <w:keepNext w:val="0"/>
              <w:keepLines w:val="0"/>
              <w:pageBreakBefore w:val="0"/>
              <w:widowControl w:val="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kinsoku/>
              <w:wordWrap/>
              <w:overflowPunct/>
              <w:topLinePunct w:val="0"/>
              <w:autoSpaceDE/>
              <w:autoSpaceDN/>
              <w:bidi w:val="0"/>
              <w:adjustRightInd/>
              <w:snapToGrid w:val="0"/>
              <w:spacing w:line="240" w:lineRule="auto"/>
              <w:textAlignment w:val="auto"/>
              <w:rPr>
                <w:rFonts w:hint="eastAsia" w:ascii="微软雅黑" w:hAnsi="微软雅黑" w:eastAsia="微软雅黑" w:cs="微软雅黑"/>
                <w:i w:val="0"/>
                <w:iCs w:val="0"/>
                <w:caps w:val="0"/>
                <w:spacing w:val="0"/>
                <w:sz w:val="21"/>
                <w:szCs w:val="21"/>
                <w:shd w:val="clear" w:fill="FFFFFF"/>
              </w:rPr>
            </w:pPr>
            <w:r>
              <w:rPr>
                <w:rFonts w:hint="eastAsia" w:ascii="微软雅黑" w:hAnsi="微软雅黑" w:eastAsia="微软雅黑" w:cs="微软雅黑"/>
                <w:i w:val="0"/>
                <w:iCs w:val="0"/>
                <w:caps w:val="0"/>
                <w:spacing w:val="0"/>
                <w:sz w:val="21"/>
                <w:szCs w:val="21"/>
                <w:shd w:val="clear" w:fill="FFFFFF"/>
              </w:rPr>
              <w:t>提供完善的平台操作手册，完成包括专家分数上传、数据核查、分数计算与导出等关键操作流程</w:t>
            </w:r>
          </w:p>
        </w:tc>
      </w:tr>
      <w:tr w14:paraId="39B2DF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149" w:type="dxa"/>
            <w:vMerge w:val="continue"/>
            <w:shd w:val="clear" w:color="auto" w:fill="auto"/>
            <w:vAlign w:val="center"/>
          </w:tcPr>
          <w:p w14:paraId="7B9525E2">
            <w:pPr>
              <w:keepNext w:val="0"/>
              <w:keepLines w:val="0"/>
              <w:pageBreakBefore w:val="0"/>
              <w:widowControl w:val="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sz w:val="21"/>
                <w:szCs w:val="21"/>
              </w:rPr>
            </w:pPr>
          </w:p>
        </w:tc>
        <w:tc>
          <w:tcPr>
            <w:tcW w:w="1067" w:type="dxa"/>
            <w:vMerge w:val="continue"/>
            <w:shd w:val="clear" w:color="auto" w:fill="auto"/>
            <w:vAlign w:val="center"/>
          </w:tcPr>
          <w:p w14:paraId="220C1FB7">
            <w:pPr>
              <w:keepNext w:val="0"/>
              <w:keepLines w:val="0"/>
              <w:pageBreakBefore w:val="0"/>
              <w:widowControl w:val="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color w:val="000000"/>
                <w:sz w:val="21"/>
                <w:szCs w:val="21"/>
                <w:lang w:val="en-US" w:eastAsia="zh-CN" w:bidi="zh-CN"/>
              </w:rPr>
            </w:pPr>
          </w:p>
        </w:tc>
        <w:tc>
          <w:tcPr>
            <w:tcW w:w="1656" w:type="dxa"/>
            <w:shd w:val="clear" w:color="auto" w:fill="auto"/>
            <w:vAlign w:val="center"/>
          </w:tcPr>
          <w:p w14:paraId="170F76D2">
            <w:pPr>
              <w:keepNext w:val="0"/>
              <w:keepLines w:val="0"/>
              <w:pageBreakBefore w:val="0"/>
              <w:widowControl w:val="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kinsoku/>
              <w:wordWrap/>
              <w:overflowPunct/>
              <w:topLinePunct w:val="0"/>
              <w:autoSpaceDE/>
              <w:autoSpaceDN/>
              <w:bidi w:val="0"/>
              <w:adjustRightInd/>
              <w:snapToGrid w:val="0"/>
              <w:spacing w:line="240" w:lineRule="auto"/>
              <w:jc w:val="center"/>
              <w:textAlignment w:val="auto"/>
              <w:rPr>
                <w:rFonts w:hint="default" w:ascii="微软雅黑" w:hAnsi="微软雅黑" w:eastAsia="微软雅黑" w:cs="微软雅黑"/>
                <w:color w:val="000000"/>
                <w:sz w:val="21"/>
                <w:szCs w:val="21"/>
                <w:lang w:val="en-US" w:eastAsia="zh-CN" w:bidi="zh-CN"/>
              </w:rPr>
            </w:pPr>
            <w:r>
              <w:rPr>
                <w:rFonts w:hint="eastAsia" w:ascii="微软雅黑" w:hAnsi="微软雅黑" w:eastAsia="微软雅黑" w:cs="微软雅黑"/>
                <w:color w:val="000000"/>
                <w:sz w:val="21"/>
                <w:szCs w:val="21"/>
                <w:lang w:val="en-US" w:eastAsia="zh-CN" w:bidi="zh-CN"/>
              </w:rPr>
              <w:t>客户支持</w:t>
            </w:r>
          </w:p>
        </w:tc>
        <w:tc>
          <w:tcPr>
            <w:tcW w:w="4429" w:type="dxa"/>
            <w:shd w:val="clear" w:color="auto" w:fill="auto"/>
            <w:vAlign w:val="center"/>
          </w:tcPr>
          <w:p w14:paraId="2D7FE7EE">
            <w:pPr>
              <w:keepNext w:val="0"/>
              <w:keepLines w:val="0"/>
              <w:pageBreakBefore w:val="0"/>
              <w:widowControl w:val="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kinsoku/>
              <w:wordWrap/>
              <w:overflowPunct/>
              <w:topLinePunct w:val="0"/>
              <w:autoSpaceDE/>
              <w:autoSpaceDN/>
              <w:bidi w:val="0"/>
              <w:adjustRightInd/>
              <w:snapToGrid w:val="0"/>
              <w:spacing w:line="240" w:lineRule="auto"/>
              <w:textAlignment w:val="auto"/>
              <w:rPr>
                <w:rFonts w:hint="eastAsia" w:ascii="微软雅黑" w:hAnsi="微软雅黑" w:eastAsia="微软雅黑" w:cs="微软雅黑"/>
                <w:i w:val="0"/>
                <w:iCs w:val="0"/>
                <w:caps w:val="0"/>
                <w:spacing w:val="0"/>
                <w:sz w:val="21"/>
                <w:szCs w:val="21"/>
                <w:shd w:val="clear" w:fill="FFFFFF"/>
              </w:rPr>
            </w:pPr>
            <w:r>
              <w:rPr>
                <w:rFonts w:hint="eastAsia" w:ascii="微软雅黑" w:hAnsi="微软雅黑" w:eastAsia="微软雅黑" w:cs="微软雅黑"/>
                <w:i w:val="0"/>
                <w:iCs w:val="0"/>
                <w:caps w:val="0"/>
                <w:spacing w:val="0"/>
                <w:sz w:val="21"/>
                <w:szCs w:val="21"/>
                <w:shd w:val="clear" w:fill="FFFFFF"/>
              </w:rPr>
              <w:t>在服务期内提供平台使用相关的人工客服支持，解答操作疑问，协助处理常规问题</w:t>
            </w:r>
          </w:p>
        </w:tc>
      </w:tr>
      <w:tr w14:paraId="62E526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149" w:type="dxa"/>
            <w:vMerge w:val="continue"/>
            <w:shd w:val="clear" w:color="auto" w:fill="auto"/>
            <w:vAlign w:val="center"/>
          </w:tcPr>
          <w:p w14:paraId="4F40BFF0">
            <w:pPr>
              <w:keepNext w:val="0"/>
              <w:keepLines w:val="0"/>
              <w:pageBreakBefore w:val="0"/>
              <w:widowControl w:val="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sz w:val="21"/>
                <w:szCs w:val="21"/>
              </w:rPr>
            </w:pPr>
          </w:p>
        </w:tc>
        <w:tc>
          <w:tcPr>
            <w:tcW w:w="1067" w:type="dxa"/>
            <w:vMerge w:val="continue"/>
            <w:tcBorders>
              <w:bottom w:val="single" w:color="auto" w:sz="4" w:space="0"/>
            </w:tcBorders>
            <w:shd w:val="clear" w:color="auto" w:fill="auto"/>
            <w:vAlign w:val="center"/>
          </w:tcPr>
          <w:p w14:paraId="6658D0E3">
            <w:pPr>
              <w:keepNext w:val="0"/>
              <w:keepLines w:val="0"/>
              <w:pageBreakBefore w:val="0"/>
              <w:widowControl w:val="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color w:val="000000"/>
                <w:sz w:val="21"/>
                <w:szCs w:val="21"/>
                <w:lang w:val="en-US" w:eastAsia="zh-CN" w:bidi="zh-CN"/>
              </w:rPr>
            </w:pPr>
          </w:p>
        </w:tc>
        <w:tc>
          <w:tcPr>
            <w:tcW w:w="1656" w:type="dxa"/>
            <w:shd w:val="clear" w:color="auto" w:fill="auto"/>
            <w:vAlign w:val="center"/>
          </w:tcPr>
          <w:p w14:paraId="1875D9F8">
            <w:pPr>
              <w:keepNext w:val="0"/>
              <w:keepLines w:val="0"/>
              <w:pageBreakBefore w:val="0"/>
              <w:widowControl w:val="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kinsoku/>
              <w:wordWrap/>
              <w:overflowPunct/>
              <w:topLinePunct w:val="0"/>
              <w:autoSpaceDE/>
              <w:autoSpaceDN/>
              <w:bidi w:val="0"/>
              <w:adjustRightInd/>
              <w:snapToGrid w:val="0"/>
              <w:spacing w:line="240" w:lineRule="auto"/>
              <w:jc w:val="center"/>
              <w:textAlignment w:val="auto"/>
              <w:rPr>
                <w:rFonts w:hint="default" w:ascii="微软雅黑" w:hAnsi="微软雅黑" w:eastAsia="微软雅黑" w:cs="微软雅黑"/>
                <w:color w:val="000000"/>
                <w:sz w:val="21"/>
                <w:szCs w:val="21"/>
                <w:lang w:val="en-US" w:eastAsia="zh-CN" w:bidi="zh-CN"/>
              </w:rPr>
            </w:pPr>
            <w:r>
              <w:rPr>
                <w:rFonts w:hint="eastAsia" w:ascii="微软雅黑" w:hAnsi="微软雅黑" w:eastAsia="微软雅黑" w:cs="微软雅黑"/>
                <w:color w:val="000000"/>
                <w:sz w:val="21"/>
                <w:szCs w:val="21"/>
                <w:lang w:val="en-US" w:eastAsia="zh-CN" w:bidi="zh-CN"/>
              </w:rPr>
              <w:t>规则调整配合</w:t>
            </w:r>
          </w:p>
        </w:tc>
        <w:tc>
          <w:tcPr>
            <w:tcW w:w="4429" w:type="dxa"/>
            <w:shd w:val="clear" w:color="auto" w:fill="auto"/>
            <w:vAlign w:val="center"/>
          </w:tcPr>
          <w:p w14:paraId="393FD2F5">
            <w:pPr>
              <w:keepNext w:val="0"/>
              <w:keepLines w:val="0"/>
              <w:pageBreakBefore w:val="0"/>
              <w:widowControl w:val="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kinsoku/>
              <w:wordWrap/>
              <w:overflowPunct/>
              <w:topLinePunct w:val="0"/>
              <w:autoSpaceDE/>
              <w:autoSpaceDN/>
              <w:bidi w:val="0"/>
              <w:adjustRightInd/>
              <w:snapToGrid w:val="0"/>
              <w:spacing w:line="240" w:lineRule="auto"/>
              <w:textAlignment w:val="auto"/>
              <w:rPr>
                <w:rFonts w:hint="eastAsia" w:ascii="微软雅黑" w:hAnsi="微软雅黑" w:eastAsia="微软雅黑" w:cs="微软雅黑"/>
                <w:i w:val="0"/>
                <w:iCs w:val="0"/>
                <w:caps w:val="0"/>
                <w:spacing w:val="0"/>
                <w:sz w:val="21"/>
                <w:szCs w:val="21"/>
                <w:shd w:val="clear" w:fill="FFFFFF"/>
              </w:rPr>
            </w:pPr>
            <w:r>
              <w:rPr>
                <w:rFonts w:hint="eastAsia" w:ascii="微软雅黑" w:hAnsi="微软雅黑" w:eastAsia="微软雅黑" w:cs="微软雅黑"/>
                <w:i w:val="0"/>
                <w:iCs w:val="0"/>
                <w:caps w:val="0"/>
                <w:spacing w:val="0"/>
                <w:sz w:val="21"/>
                <w:szCs w:val="21"/>
                <w:shd w:val="clear" w:fill="FFFFFF"/>
              </w:rPr>
              <w:t>当赋分规则需要根据专家意见或政策要求进行调整时，配合甲方完成平台规则的更新与配置工作</w:t>
            </w:r>
          </w:p>
        </w:tc>
      </w:tr>
    </w:tbl>
    <w:p w14:paraId="1DE37B3B">
      <w:pPr>
        <w:keepNext w:val="0"/>
        <w:keepLines w:val="0"/>
        <w:pageBreakBefore w:val="0"/>
        <w:widowControl w:val="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kinsoku/>
        <w:wordWrap/>
        <w:overflowPunct/>
        <w:topLinePunct w:val="0"/>
        <w:autoSpaceDE/>
        <w:autoSpaceDN/>
        <w:bidi w:val="0"/>
        <w:adjustRightInd/>
        <w:snapToGrid/>
        <w:spacing w:before="157" w:beforeLines="50" w:after="157" w:afterLines="50"/>
        <w:textAlignment w:val="auto"/>
        <w:rPr>
          <w:rFonts w:hint="eastAsia" w:ascii="微软雅黑" w:hAnsi="微软雅黑" w:eastAsia="微软雅黑" w:cs="微软雅黑"/>
          <w:b/>
          <w:color w:val="000000"/>
          <w:sz w:val="24"/>
          <w:szCs w:val="24"/>
          <w:lang w:val="zh-CN" w:eastAsia="zh-CN" w:bidi="zh-CN"/>
        </w:rPr>
      </w:pPr>
      <w:r>
        <w:rPr>
          <w:rFonts w:hint="eastAsia" w:ascii="微软雅黑" w:hAnsi="微软雅黑" w:eastAsia="微软雅黑" w:cs="微软雅黑"/>
          <w:b/>
          <w:color w:val="000000"/>
          <w:sz w:val="24"/>
          <w:szCs w:val="24"/>
          <w:lang w:val="zh-CN" w:eastAsia="zh-CN" w:bidi="zh-CN"/>
        </w:rPr>
        <w:t>三、技术要求</w:t>
      </w:r>
    </w:p>
    <w:p w14:paraId="3DF41697">
      <w:pPr>
        <w:widowControl/>
        <w:numPr>
          <w:ilvl w:val="0"/>
          <w:numId w:val="3"/>
        </w:numPr>
        <w:tabs>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ind w:left="5" w:leftChars="0" w:firstLine="415" w:firstLineChars="0"/>
        <w:rPr>
          <w:rFonts w:hint="eastAsia" w:ascii="微软雅黑" w:hAnsi="微软雅黑" w:eastAsia="微软雅黑" w:cs="微软雅黑"/>
          <w:color w:val="000000"/>
          <w:sz w:val="24"/>
          <w:szCs w:val="24"/>
          <w:lang w:val="zh-CN" w:eastAsia="zh-CN" w:bidi="zh-CN"/>
        </w:rPr>
      </w:pPr>
      <w:r>
        <w:rPr>
          <w:rFonts w:hint="eastAsia" w:ascii="微软雅黑" w:hAnsi="微软雅黑" w:eastAsia="微软雅黑" w:cs="微软雅黑"/>
          <w:color w:val="000000"/>
          <w:sz w:val="24"/>
          <w:szCs w:val="24"/>
          <w:lang w:val="zh-CN" w:eastAsia="zh-CN" w:bidi="zh-CN"/>
        </w:rPr>
        <w:t>系统需部署在乙方公司服务器上，并确保自项目最终验收通过之日起，提供为期壹年（1年）的服务器稳定运行及基础运维保障服务，以保证平台在该服务保障期内的高效、安全运行。</w:t>
      </w:r>
    </w:p>
    <w:p w14:paraId="2CDA10A4">
      <w:pPr>
        <w:widowControl/>
        <w:numPr>
          <w:ilvl w:val="0"/>
          <w:numId w:val="3"/>
        </w:numPr>
        <w:tabs>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ind w:left="5" w:leftChars="0" w:firstLine="415" w:firstLineChars="0"/>
        <w:rPr>
          <w:rFonts w:hint="eastAsia" w:ascii="微软雅黑" w:hAnsi="微软雅黑" w:eastAsia="微软雅黑" w:cs="微软雅黑"/>
          <w:color w:val="000000"/>
          <w:sz w:val="24"/>
          <w:szCs w:val="24"/>
          <w:lang w:val="zh-CN" w:eastAsia="zh-CN" w:bidi="zh-CN"/>
        </w:rPr>
      </w:pPr>
      <w:r>
        <w:rPr>
          <w:rFonts w:hint="eastAsia" w:ascii="微软雅黑" w:hAnsi="微软雅黑" w:eastAsia="微软雅黑" w:cs="微软雅黑"/>
          <w:color w:val="000000"/>
          <w:sz w:val="24"/>
          <w:szCs w:val="24"/>
          <w:lang w:val="zh-CN" w:eastAsia="zh-CN" w:bidi="zh-CN"/>
        </w:rPr>
        <w:t>数据安全要求：应基于现有数据结构与存储方案，确保历史数据</w:t>
      </w:r>
      <w:r>
        <w:rPr>
          <w:rFonts w:hint="eastAsia" w:ascii="微软雅黑" w:hAnsi="微软雅黑" w:eastAsia="微软雅黑" w:cs="微软雅黑"/>
          <w:color w:val="000000"/>
          <w:sz w:val="24"/>
          <w:szCs w:val="24"/>
          <w:lang w:val="en-US" w:eastAsia="zh-CN" w:bidi="zh-CN"/>
        </w:rPr>
        <w:t>安全</w:t>
      </w:r>
      <w:r>
        <w:rPr>
          <w:rFonts w:hint="eastAsia" w:ascii="微软雅黑" w:hAnsi="微软雅黑" w:eastAsia="微软雅黑" w:cs="微软雅黑"/>
          <w:color w:val="000000"/>
          <w:sz w:val="24"/>
          <w:szCs w:val="24"/>
          <w:lang w:val="zh-CN" w:eastAsia="zh-CN" w:bidi="zh-CN"/>
        </w:rPr>
        <w:t>、并建立完备的安全防护机制。</w:t>
      </w:r>
    </w:p>
    <w:p w14:paraId="2A99756C">
      <w:pPr>
        <w:widowControl/>
        <w:numPr>
          <w:ilvl w:val="0"/>
          <w:numId w:val="3"/>
        </w:numPr>
        <w:tabs>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ind w:left="5" w:leftChars="0" w:firstLine="415" w:firstLineChars="0"/>
        <w:rPr>
          <w:rFonts w:hint="eastAsia" w:ascii="微软雅黑" w:hAnsi="微软雅黑" w:eastAsia="微软雅黑" w:cs="微软雅黑"/>
          <w:color w:val="000000"/>
          <w:sz w:val="24"/>
          <w:szCs w:val="24"/>
          <w:lang w:val="zh-CN" w:eastAsia="zh-CN" w:bidi="zh-CN"/>
        </w:rPr>
      </w:pPr>
      <w:r>
        <w:rPr>
          <w:rFonts w:hint="eastAsia" w:ascii="微软雅黑" w:hAnsi="微软雅黑" w:eastAsia="微软雅黑" w:cs="微软雅黑"/>
          <w:color w:val="000000"/>
          <w:sz w:val="24"/>
          <w:szCs w:val="24"/>
          <w:lang w:val="zh-CN" w:eastAsia="zh-CN" w:bidi="zh-CN"/>
        </w:rPr>
        <w:t>系统兼容性要求：实现与现有专业点信息填报平台数据结构的对接，并保证系统支持Chrome、Firefox、Edge等主流浏览器访问。</w:t>
      </w:r>
    </w:p>
    <w:p w14:paraId="6E1D98FE">
      <w:pPr>
        <w:keepNext w:val="0"/>
        <w:keepLines w:val="0"/>
        <w:pageBreakBefore w:val="0"/>
        <w:widowControl w:val="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kinsoku/>
        <w:wordWrap/>
        <w:overflowPunct/>
        <w:topLinePunct w:val="0"/>
        <w:autoSpaceDE/>
        <w:autoSpaceDN/>
        <w:bidi w:val="0"/>
        <w:adjustRightInd/>
        <w:snapToGrid/>
        <w:spacing w:before="157" w:beforeLines="50" w:after="157" w:afterLines="50"/>
        <w:textAlignment w:val="auto"/>
        <w:rPr>
          <w:rFonts w:hint="eastAsia" w:ascii="微软雅黑" w:hAnsi="微软雅黑" w:eastAsia="微软雅黑" w:cs="微软雅黑"/>
          <w:b/>
          <w:color w:val="000000"/>
          <w:sz w:val="24"/>
          <w:szCs w:val="24"/>
          <w:lang w:val="zh-CN" w:eastAsia="zh-CN" w:bidi="zh-CN"/>
        </w:rPr>
      </w:pPr>
      <w:r>
        <w:rPr>
          <w:rFonts w:hint="eastAsia" w:ascii="微软雅黑" w:hAnsi="微软雅黑" w:eastAsia="微软雅黑" w:cs="微软雅黑"/>
          <w:b/>
          <w:color w:val="000000"/>
          <w:sz w:val="24"/>
          <w:szCs w:val="24"/>
          <w:lang w:val="zh-CN" w:eastAsia="zh-CN" w:bidi="zh-CN"/>
        </w:rPr>
        <w:t>四、服务要求</w:t>
      </w:r>
    </w:p>
    <w:p w14:paraId="08C3E1FF">
      <w:pPr>
        <w:widowControl/>
        <w:numPr>
          <w:ilvl w:val="0"/>
          <w:numId w:val="4"/>
        </w:numPr>
        <w:tabs>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ind w:left="5" w:leftChars="0" w:firstLine="415" w:firstLineChars="0"/>
        <w:rPr>
          <w:rFonts w:hint="eastAsia" w:ascii="微软雅黑" w:hAnsi="微软雅黑" w:eastAsia="微软雅黑" w:cs="微软雅黑"/>
          <w:color w:val="000000"/>
          <w:sz w:val="24"/>
          <w:szCs w:val="24"/>
          <w:lang w:val="zh-CN" w:eastAsia="zh-CN" w:bidi="zh-CN"/>
        </w:rPr>
      </w:pPr>
      <w:r>
        <w:rPr>
          <w:rFonts w:hint="eastAsia" w:ascii="微软雅黑" w:hAnsi="微软雅黑" w:eastAsia="微软雅黑" w:cs="微软雅黑"/>
          <w:color w:val="000000"/>
          <w:sz w:val="24"/>
          <w:szCs w:val="24"/>
          <w:lang w:val="en-US" w:eastAsia="zh-CN" w:bidi="zh-CN"/>
        </w:rPr>
        <w:t>服务部署</w:t>
      </w:r>
      <w:r>
        <w:rPr>
          <w:rFonts w:hint="eastAsia" w:ascii="微软雅黑" w:hAnsi="微软雅黑" w:eastAsia="微软雅黑" w:cs="微软雅黑"/>
          <w:color w:val="000000"/>
          <w:sz w:val="24"/>
          <w:szCs w:val="24"/>
          <w:lang w:val="zh-CN" w:eastAsia="zh-CN" w:bidi="zh-CN"/>
        </w:rPr>
        <w:t>要求：智能计分等数据处理服务于2026年</w:t>
      </w:r>
      <w:r>
        <w:rPr>
          <w:rFonts w:hint="eastAsia" w:ascii="微软雅黑" w:hAnsi="微软雅黑" w:eastAsia="微软雅黑" w:cs="微软雅黑"/>
          <w:color w:val="000000"/>
          <w:sz w:val="24"/>
          <w:szCs w:val="24"/>
          <w:lang w:val="en-US" w:eastAsia="zh-CN" w:bidi="zh-CN"/>
        </w:rPr>
        <w:t>5月</w:t>
      </w:r>
      <w:r>
        <w:rPr>
          <w:rFonts w:hint="eastAsia" w:ascii="微软雅黑" w:hAnsi="微软雅黑" w:eastAsia="微软雅黑" w:cs="微软雅黑"/>
          <w:color w:val="000000"/>
          <w:sz w:val="24"/>
          <w:szCs w:val="24"/>
          <w:lang w:val="zh-CN" w:eastAsia="zh-CN" w:bidi="zh-CN"/>
        </w:rPr>
        <w:t>内正式运行。</w:t>
      </w:r>
    </w:p>
    <w:p w14:paraId="3DB5A1C4">
      <w:pPr>
        <w:widowControl/>
        <w:numPr>
          <w:ilvl w:val="0"/>
          <w:numId w:val="4"/>
        </w:numPr>
        <w:tabs>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ind w:left="5" w:leftChars="0" w:firstLine="415" w:firstLineChars="0"/>
        <w:rPr>
          <w:rFonts w:hint="eastAsia" w:ascii="微软雅黑" w:hAnsi="微软雅黑" w:eastAsia="微软雅黑" w:cs="微软雅黑"/>
          <w:color w:val="000000"/>
          <w:sz w:val="24"/>
          <w:szCs w:val="24"/>
          <w:lang w:val="zh-CN" w:eastAsia="zh-CN" w:bidi="zh-CN"/>
        </w:rPr>
      </w:pPr>
      <w:r>
        <w:rPr>
          <w:rFonts w:hint="eastAsia" w:ascii="微软雅黑" w:hAnsi="微软雅黑" w:eastAsia="微软雅黑" w:cs="微软雅黑"/>
          <w:color w:val="000000"/>
          <w:sz w:val="24"/>
          <w:szCs w:val="24"/>
          <w:lang w:val="zh-CN" w:eastAsia="zh-CN" w:bidi="zh-CN"/>
        </w:rPr>
        <w:t>应急响应要求：发生数据异常或系统故障时，</w:t>
      </w:r>
      <w:r>
        <w:rPr>
          <w:rFonts w:hint="eastAsia" w:ascii="微软雅黑" w:hAnsi="微软雅黑" w:eastAsia="微软雅黑" w:cs="微软雅黑"/>
          <w:color w:val="000000"/>
          <w:sz w:val="24"/>
          <w:szCs w:val="24"/>
          <w:lang w:val="en-US" w:eastAsia="zh-CN" w:bidi="zh-CN"/>
        </w:rPr>
        <w:t>需迅速</w:t>
      </w:r>
      <w:r>
        <w:rPr>
          <w:rFonts w:hint="eastAsia" w:ascii="微软雅黑" w:hAnsi="微软雅黑" w:eastAsia="微软雅黑" w:cs="微软雅黑"/>
          <w:color w:val="000000"/>
          <w:sz w:val="24"/>
          <w:szCs w:val="24"/>
          <w:lang w:val="zh-CN" w:eastAsia="zh-CN" w:bidi="zh-CN"/>
        </w:rPr>
        <w:t>响应并定位问题，提供书面解决方案。</w:t>
      </w:r>
    </w:p>
    <w:p w14:paraId="3E07CAC6">
      <w:pPr>
        <w:widowControl/>
        <w:numPr>
          <w:ilvl w:val="0"/>
          <w:numId w:val="4"/>
        </w:numPr>
        <w:tabs>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ind w:left="5" w:leftChars="0" w:firstLine="415" w:firstLineChars="0"/>
        <w:rPr>
          <w:rFonts w:hint="eastAsia" w:ascii="微软雅黑" w:hAnsi="微软雅黑" w:eastAsia="微软雅黑" w:cs="微软雅黑"/>
          <w:color w:val="000000"/>
          <w:sz w:val="24"/>
          <w:szCs w:val="24"/>
          <w:lang w:val="zh-CN" w:eastAsia="zh-CN" w:bidi="zh-CN"/>
        </w:rPr>
      </w:pPr>
      <w:r>
        <w:rPr>
          <w:rFonts w:hint="eastAsia" w:ascii="微软雅黑" w:hAnsi="微软雅黑" w:eastAsia="微软雅黑" w:cs="微软雅黑"/>
          <w:color w:val="000000"/>
          <w:sz w:val="24"/>
          <w:szCs w:val="24"/>
          <w:lang w:val="zh-CN" w:eastAsia="zh-CN" w:bidi="zh-CN"/>
        </w:rPr>
        <w:t>数据维护要求：建立定期备份机制，保障历史数据</w:t>
      </w:r>
      <w:r>
        <w:rPr>
          <w:rFonts w:hint="eastAsia" w:ascii="微软雅黑" w:hAnsi="微软雅黑" w:eastAsia="微软雅黑" w:cs="微软雅黑"/>
          <w:color w:val="000000"/>
          <w:sz w:val="24"/>
          <w:szCs w:val="24"/>
          <w:lang w:val="en-US" w:eastAsia="zh-CN" w:bidi="zh-CN"/>
        </w:rPr>
        <w:t>安全</w:t>
      </w:r>
      <w:r>
        <w:rPr>
          <w:rFonts w:hint="eastAsia" w:ascii="微软雅黑" w:hAnsi="微软雅黑" w:eastAsia="微软雅黑" w:cs="微软雅黑"/>
          <w:color w:val="000000"/>
          <w:sz w:val="24"/>
          <w:szCs w:val="24"/>
          <w:lang w:val="zh-CN" w:eastAsia="zh-CN" w:bidi="zh-CN"/>
        </w:rPr>
        <w:t>。</w:t>
      </w:r>
    </w:p>
    <w:p w14:paraId="4F92C6DB">
      <w:pPr>
        <w:widowControl/>
        <w:numPr>
          <w:ilvl w:val="0"/>
          <w:numId w:val="4"/>
        </w:numPr>
        <w:tabs>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ind w:left="5" w:leftChars="0" w:firstLine="415" w:firstLineChars="0"/>
        <w:rPr>
          <w:rFonts w:hint="eastAsia" w:ascii="微软雅黑" w:hAnsi="微软雅黑" w:eastAsia="微软雅黑" w:cs="微软雅黑"/>
          <w:color w:val="000000"/>
          <w:sz w:val="24"/>
          <w:szCs w:val="24"/>
          <w:lang w:val="zh-CN" w:eastAsia="zh-CN" w:bidi="zh-CN"/>
        </w:rPr>
      </w:pPr>
      <w:r>
        <w:rPr>
          <w:rFonts w:hint="eastAsia" w:ascii="微软雅黑" w:hAnsi="微软雅黑" w:eastAsia="微软雅黑" w:cs="微软雅黑"/>
          <w:color w:val="000000"/>
          <w:sz w:val="24"/>
          <w:szCs w:val="24"/>
          <w:lang w:val="zh-CN" w:eastAsia="zh-CN" w:bidi="zh-CN"/>
        </w:rPr>
        <w:t>培训支持要求：需提供系统操作手册（电子版+纸质版），并组织面向平台管理员的培训，重点覆盖赋分规则配置、数据核查等核心操作。</w:t>
      </w:r>
    </w:p>
    <w:p w14:paraId="31DFC856">
      <w:pPr>
        <w:widowControl/>
        <w:numPr>
          <w:ilvl w:val="0"/>
          <w:numId w:val="4"/>
        </w:numPr>
        <w:tabs>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ind w:left="5" w:leftChars="0" w:firstLine="415" w:firstLineChars="0"/>
        <w:rPr>
          <w:rFonts w:hint="eastAsia" w:ascii="微软雅黑" w:hAnsi="微软雅黑" w:eastAsia="微软雅黑" w:cs="微软雅黑"/>
          <w:color w:val="000000"/>
          <w:sz w:val="24"/>
          <w:szCs w:val="24"/>
          <w:lang w:val="zh-CN" w:eastAsia="zh-CN" w:bidi="zh-CN"/>
        </w:rPr>
      </w:pPr>
      <w:r>
        <w:rPr>
          <w:rFonts w:hint="eastAsia" w:ascii="微软雅黑" w:hAnsi="微软雅黑" w:eastAsia="微软雅黑" w:cs="微软雅黑"/>
          <w:color w:val="000000"/>
          <w:sz w:val="24"/>
          <w:szCs w:val="24"/>
          <w:lang w:val="zh-CN" w:eastAsia="zh-CN" w:bidi="zh-CN"/>
        </w:rPr>
        <w:t>运维服务期限：​​</w:t>
      </w:r>
    </w:p>
    <w:p w14:paraId="581FA67F">
      <w:pPr>
        <w:widowControl/>
        <w:numPr>
          <w:ilvl w:val="0"/>
          <w:numId w:val="0"/>
        </w:numPr>
        <w:tabs>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ind w:firstLine="480" w:firstLineChars="200"/>
        <w:rPr>
          <w:rFonts w:hint="eastAsia" w:ascii="微软雅黑" w:hAnsi="微软雅黑" w:eastAsia="微软雅黑" w:cs="微软雅黑"/>
          <w:color w:val="000000"/>
          <w:sz w:val="24"/>
          <w:szCs w:val="24"/>
          <w:lang w:val="zh-CN" w:eastAsia="zh-CN" w:bidi="zh-CN"/>
        </w:rPr>
      </w:pPr>
      <w:r>
        <w:rPr>
          <w:rFonts w:hint="eastAsia" w:ascii="微软雅黑" w:hAnsi="微软雅黑" w:eastAsia="微软雅黑" w:cs="微软雅黑"/>
          <w:color w:val="000000"/>
          <w:sz w:val="24"/>
          <w:szCs w:val="24"/>
          <w:lang w:val="zh-CN" w:eastAsia="zh-CN" w:bidi="zh-CN"/>
        </w:rPr>
        <w:t>自项目最终验收合格之日起，乙方须提供为期壹年（1年）的基础运维服务，包括服务器资源使用、服务器运行保障、基础监控、日常维护、应急响应、数据备份及人工客服支持。​</w:t>
      </w:r>
    </w:p>
    <w:p w14:paraId="4F49B89D">
      <w:pPr>
        <w:keepNext w:val="0"/>
        <w:keepLines w:val="0"/>
        <w:pageBreakBefore w:val="0"/>
        <w:widowControl w:val="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kinsoku/>
        <w:wordWrap/>
        <w:overflowPunct/>
        <w:topLinePunct w:val="0"/>
        <w:autoSpaceDE/>
        <w:autoSpaceDN/>
        <w:bidi w:val="0"/>
        <w:adjustRightInd/>
        <w:snapToGrid/>
        <w:spacing w:before="157" w:beforeLines="50" w:after="157" w:afterLines="50"/>
        <w:textAlignment w:val="auto"/>
        <w:rPr>
          <w:rFonts w:hint="eastAsia" w:ascii="微软雅黑" w:hAnsi="微软雅黑" w:eastAsia="微软雅黑" w:cs="微软雅黑"/>
          <w:b/>
          <w:color w:val="000000"/>
          <w:sz w:val="24"/>
          <w:szCs w:val="24"/>
          <w:lang w:val="en-US" w:eastAsia="zh-CN" w:bidi="zh-CN"/>
        </w:rPr>
      </w:pPr>
      <w:r>
        <w:rPr>
          <w:rFonts w:hint="eastAsia" w:ascii="微软雅黑" w:hAnsi="微软雅黑" w:eastAsia="微软雅黑" w:cs="微软雅黑"/>
          <w:b/>
          <w:color w:val="000000"/>
          <w:sz w:val="24"/>
          <w:szCs w:val="24"/>
          <w:lang w:val="zh-CN" w:eastAsia="zh-CN" w:bidi="zh-CN"/>
        </w:rPr>
        <w:t>五、</w:t>
      </w:r>
      <w:r>
        <w:rPr>
          <w:rFonts w:hint="eastAsia" w:ascii="微软雅黑" w:hAnsi="微软雅黑" w:eastAsia="微软雅黑" w:cs="微软雅黑"/>
          <w:b/>
          <w:color w:val="000000"/>
          <w:sz w:val="24"/>
          <w:szCs w:val="24"/>
          <w:lang w:val="en-US" w:eastAsia="zh-CN" w:bidi="zh-CN"/>
        </w:rPr>
        <w:t>服务实施周期</w:t>
      </w:r>
    </w:p>
    <w:p w14:paraId="2BBD3E53">
      <w:pPr>
        <w:widowControl/>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ind w:firstLine="420"/>
        <w:jc w:val="left"/>
        <w:rPr>
          <w:rFonts w:hint="eastAsia" w:ascii="微软雅黑" w:hAnsi="微软雅黑" w:eastAsia="微软雅黑" w:cs="微软雅黑"/>
          <w:color w:val="000000"/>
          <w:sz w:val="24"/>
          <w:szCs w:val="24"/>
          <w:lang w:val="zh-CN" w:eastAsia="zh-CN" w:bidi="zh-CN"/>
        </w:rPr>
      </w:pPr>
      <w:r>
        <w:rPr>
          <w:rFonts w:hint="eastAsia" w:ascii="微软雅黑" w:hAnsi="微软雅黑" w:eastAsia="微软雅黑" w:cs="微软雅黑"/>
          <w:color w:val="000000"/>
          <w:sz w:val="24"/>
          <w:szCs w:val="24"/>
          <w:lang w:val="zh-CN" w:eastAsia="zh-CN" w:bidi="zh-CN"/>
        </w:rPr>
        <w:t>各项数据处理服务于2026年</w:t>
      </w:r>
      <w:r>
        <w:rPr>
          <w:rFonts w:hint="eastAsia" w:ascii="微软雅黑" w:hAnsi="微软雅黑" w:eastAsia="微软雅黑" w:cs="微软雅黑"/>
          <w:color w:val="000000"/>
          <w:sz w:val="24"/>
          <w:szCs w:val="24"/>
          <w:lang w:val="en-US" w:eastAsia="zh-CN" w:bidi="zh-CN"/>
        </w:rPr>
        <w:t>6月</w:t>
      </w:r>
      <w:r>
        <w:rPr>
          <w:rFonts w:hint="eastAsia" w:ascii="微软雅黑" w:hAnsi="微软雅黑" w:eastAsia="微软雅黑" w:cs="微软雅黑"/>
          <w:color w:val="000000"/>
          <w:sz w:val="24"/>
          <w:szCs w:val="24"/>
          <w:lang w:val="zh-CN" w:eastAsia="zh-CN" w:bidi="zh-CN"/>
        </w:rPr>
        <w:t>内完成平台</w:t>
      </w:r>
      <w:r>
        <w:rPr>
          <w:rFonts w:hint="eastAsia" w:ascii="微软雅黑" w:hAnsi="微软雅黑" w:eastAsia="微软雅黑" w:cs="微软雅黑"/>
          <w:color w:val="000000"/>
          <w:sz w:val="24"/>
          <w:szCs w:val="24"/>
          <w:lang w:val="en-US" w:eastAsia="zh-CN" w:bidi="zh-CN"/>
        </w:rPr>
        <w:t>部署</w:t>
      </w:r>
      <w:r>
        <w:rPr>
          <w:rFonts w:hint="eastAsia" w:ascii="微软雅黑" w:hAnsi="微软雅黑" w:eastAsia="微软雅黑" w:cs="微软雅黑"/>
          <w:color w:val="000000"/>
          <w:sz w:val="24"/>
          <w:szCs w:val="24"/>
          <w:lang w:val="zh-CN" w:eastAsia="zh-CN" w:bidi="zh-CN"/>
        </w:rPr>
        <w:t>、试运行并通过招标人验收。</w:t>
      </w:r>
    </w:p>
    <w:p w14:paraId="0D7B7F8E">
      <w:pPr>
        <w:keepNext w:val="0"/>
        <w:keepLines w:val="0"/>
        <w:pageBreakBefore w:val="0"/>
        <w:widowControl w:val="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kinsoku/>
        <w:wordWrap/>
        <w:overflowPunct/>
        <w:topLinePunct w:val="0"/>
        <w:autoSpaceDE/>
        <w:autoSpaceDN/>
        <w:bidi w:val="0"/>
        <w:adjustRightInd/>
        <w:snapToGrid/>
        <w:spacing w:before="157" w:beforeLines="50" w:after="157" w:afterLines="50"/>
        <w:textAlignment w:val="auto"/>
        <w:rPr>
          <w:rFonts w:hint="eastAsia" w:ascii="微软雅黑" w:hAnsi="微软雅黑" w:eastAsia="微软雅黑" w:cs="微软雅黑"/>
          <w:b/>
          <w:color w:val="000000"/>
          <w:sz w:val="24"/>
          <w:szCs w:val="24"/>
          <w:lang w:val="zh-CN" w:eastAsia="zh-CN" w:bidi="zh-CN"/>
        </w:rPr>
      </w:pPr>
      <w:r>
        <w:rPr>
          <w:rFonts w:hint="eastAsia" w:ascii="微软雅黑" w:hAnsi="微软雅黑" w:eastAsia="微软雅黑" w:cs="微软雅黑"/>
          <w:b/>
          <w:color w:val="000000"/>
          <w:sz w:val="24"/>
          <w:szCs w:val="24"/>
          <w:lang w:val="en-US" w:eastAsia="zh-CN" w:bidi="zh-CN"/>
        </w:rPr>
        <w:t>六、</w:t>
      </w:r>
      <w:r>
        <w:rPr>
          <w:rFonts w:hint="eastAsia" w:ascii="微软雅黑" w:hAnsi="微软雅黑" w:eastAsia="微软雅黑" w:cs="微软雅黑"/>
          <w:b/>
          <w:color w:val="000000"/>
          <w:sz w:val="24"/>
          <w:szCs w:val="24"/>
          <w:lang w:val="zh-CN" w:eastAsia="zh-CN" w:bidi="zh-CN"/>
        </w:rPr>
        <w:t>项目预算要求</w:t>
      </w:r>
    </w:p>
    <w:p w14:paraId="7D539586">
      <w:pPr>
        <w:widowControl/>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jc w:val="left"/>
        <w:rPr>
          <w:rFonts w:hint="eastAsia" w:ascii="微软雅黑" w:hAnsi="微软雅黑" w:eastAsia="微软雅黑" w:cs="微软雅黑"/>
          <w:color w:val="000000"/>
          <w:sz w:val="24"/>
          <w:szCs w:val="24"/>
          <w:lang w:val="zh-CN" w:eastAsia="zh-CN" w:bidi="zh-CN"/>
        </w:rPr>
      </w:pPr>
      <w:r>
        <w:rPr>
          <w:rFonts w:hint="eastAsia" w:ascii="微软雅黑" w:hAnsi="微软雅黑" w:eastAsia="微软雅黑" w:cs="微软雅黑"/>
          <w:color w:val="000000"/>
          <w:sz w:val="24"/>
          <w:szCs w:val="24"/>
          <w:lang w:val="en-US" w:eastAsia="zh-CN" w:bidi="zh-CN"/>
        </w:rPr>
        <w:tab/>
      </w:r>
      <w:r>
        <w:rPr>
          <w:rFonts w:hint="eastAsia" w:ascii="微软雅黑" w:hAnsi="微软雅黑" w:eastAsia="微软雅黑" w:cs="微软雅黑"/>
          <w:color w:val="000000"/>
          <w:sz w:val="24"/>
          <w:szCs w:val="24"/>
          <w:lang w:val="zh-CN" w:eastAsia="zh-CN" w:bidi="zh-CN"/>
        </w:rPr>
        <w:t>本项目，</w:t>
      </w:r>
      <w:r>
        <w:rPr>
          <w:rFonts w:hint="eastAsia" w:ascii="微软雅黑" w:hAnsi="微软雅黑" w:eastAsia="微软雅黑" w:cs="微软雅黑"/>
          <w:color w:val="000000"/>
          <w:sz w:val="24"/>
          <w:szCs w:val="24"/>
          <w:lang w:val="en-US" w:eastAsia="zh-CN" w:bidi="zh-CN"/>
        </w:rPr>
        <w:t>即新增</w:t>
      </w:r>
      <w:r>
        <w:rPr>
          <w:rFonts w:hint="eastAsia" w:ascii="微软雅黑" w:hAnsi="微软雅黑" w:eastAsia="微软雅黑" w:cs="微软雅黑"/>
          <w:color w:val="000000"/>
          <w:sz w:val="24"/>
          <w:szCs w:val="24"/>
          <w:lang w:val="zh-CN" w:eastAsia="zh-CN" w:bidi="zh-CN"/>
        </w:rPr>
        <w:t>智能化赋分</w:t>
      </w:r>
      <w:r>
        <w:rPr>
          <w:rFonts w:hint="eastAsia" w:ascii="微软雅黑" w:hAnsi="微软雅黑" w:eastAsia="微软雅黑" w:cs="微软雅黑"/>
          <w:color w:val="000000"/>
          <w:sz w:val="24"/>
          <w:szCs w:val="24"/>
          <w:lang w:val="en-US" w:eastAsia="zh-CN" w:bidi="zh-CN"/>
        </w:rPr>
        <w:t>计算</w:t>
      </w:r>
      <w:bookmarkStart w:id="0" w:name="_GoBack"/>
      <w:bookmarkEnd w:id="0"/>
      <w:r>
        <w:rPr>
          <w:rFonts w:hint="eastAsia" w:ascii="微软雅黑" w:hAnsi="微软雅黑" w:eastAsia="微软雅黑" w:cs="微软雅黑"/>
          <w:color w:val="000000"/>
          <w:sz w:val="24"/>
          <w:szCs w:val="24"/>
          <w:lang w:val="zh-CN" w:eastAsia="zh-CN" w:bidi="zh-CN"/>
        </w:rPr>
        <w:t>及配套服务的预算金额（含税）为人民币</w:t>
      </w:r>
      <w:r>
        <w:rPr>
          <w:rFonts w:hint="eastAsia" w:ascii="微软雅黑" w:hAnsi="微软雅黑" w:eastAsia="微软雅黑" w:cs="微软雅黑"/>
          <w:color w:val="000000"/>
          <w:sz w:val="24"/>
          <w:szCs w:val="24"/>
          <w:lang w:val="en-US" w:eastAsia="zh-CN" w:bidi="zh-CN"/>
        </w:rPr>
        <w:t>柒</w:t>
      </w:r>
      <w:r>
        <w:rPr>
          <w:rFonts w:hint="eastAsia" w:ascii="微软雅黑" w:hAnsi="微软雅黑" w:eastAsia="微软雅黑" w:cs="微软雅黑"/>
          <w:color w:val="000000"/>
          <w:sz w:val="24"/>
          <w:szCs w:val="24"/>
          <w:lang w:val="zh-CN" w:eastAsia="zh-CN" w:bidi="zh-CN"/>
        </w:rPr>
        <w:t>万元（￥</w:t>
      </w:r>
      <w:r>
        <w:rPr>
          <w:rFonts w:hint="eastAsia" w:ascii="微软雅黑" w:hAnsi="微软雅黑" w:eastAsia="微软雅黑" w:cs="微软雅黑"/>
          <w:color w:val="000000"/>
          <w:sz w:val="24"/>
          <w:szCs w:val="24"/>
          <w:lang w:val="en-US" w:eastAsia="zh-CN" w:bidi="zh-CN"/>
        </w:rPr>
        <w:t>7</w:t>
      </w:r>
      <w:r>
        <w:rPr>
          <w:rFonts w:hint="eastAsia" w:ascii="微软雅黑" w:hAnsi="微软雅黑" w:eastAsia="微软雅黑" w:cs="微软雅黑"/>
          <w:color w:val="000000"/>
          <w:sz w:val="24"/>
          <w:szCs w:val="24"/>
          <w:lang w:val="zh-CN" w:eastAsia="zh-CN" w:bidi="zh-CN"/>
        </w:rPr>
        <w:t>0,000.00元）。</w:t>
      </w:r>
    </w:p>
    <w:p w14:paraId="41B14692">
      <w:pPr>
        <w:widowControl/>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jc w:val="left"/>
        <w:rPr>
          <w:rFonts w:hint="eastAsia" w:ascii="微软雅黑" w:hAnsi="微软雅黑" w:eastAsia="微软雅黑" w:cs="微软雅黑"/>
          <w:color w:val="000000"/>
          <w:sz w:val="24"/>
          <w:szCs w:val="24"/>
          <w:lang w:val="zh-CN" w:eastAsia="zh-CN" w:bidi="zh-CN"/>
        </w:rPr>
      </w:pPr>
      <w:r>
        <w:rPr>
          <w:rFonts w:hint="eastAsia" w:ascii="微软雅黑" w:hAnsi="微软雅黑" w:eastAsia="微软雅黑" w:cs="微软雅黑"/>
          <w:color w:val="000000"/>
          <w:sz w:val="24"/>
          <w:szCs w:val="24"/>
          <w:lang w:val="zh-CN" w:eastAsia="zh-CN" w:bidi="zh-CN"/>
        </w:rPr>
        <w:t>​​此预算包含数据处理服务费用及项目最终验收合格后壹年(1年)内的运维服务（含服务器资源、基础运维及人工客服支持）。</w:t>
      </w:r>
    </w:p>
    <w:p w14:paraId="25FD352E">
      <w:pPr>
        <w:widowControl/>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jc w:val="left"/>
        <w:rPr>
          <w:rFonts w:hint="eastAsia" w:ascii="微软雅黑" w:hAnsi="微软雅黑" w:eastAsia="微软雅黑" w:cs="微软雅黑"/>
          <w:color w:val="000000"/>
          <w:sz w:val="24"/>
          <w:szCs w:val="24"/>
          <w:lang w:val="zh-CN" w:eastAsia="zh-CN" w:bidi="zh-CN"/>
        </w:rPr>
      </w:pPr>
    </w:p>
    <w:p w14:paraId="229ACBC2">
      <w:pPr>
        <w:rPr>
          <w:rFonts w:hint="default" w:ascii="微软雅黑" w:hAnsi="微软雅黑" w:eastAsia="微软雅黑" w:cs="微软雅黑"/>
          <w:color w:val="000000"/>
          <w:sz w:val="24"/>
          <w:szCs w:val="24"/>
          <w:lang w:val="en-US" w:eastAsia="zh-CN" w:bidi="zh-CN"/>
        </w:rPr>
      </w:pPr>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微软雅黑 Light">
    <w:panose1 w:val="020B0502040204020203"/>
    <w:charset w:val="86"/>
    <w:family w:val="auto"/>
    <w:pitch w:val="default"/>
    <w:sig w:usb0="80000287" w:usb1="2ACF001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D5CC25">
    <w:pPr>
      <w:pStyle w:val="6"/>
      <w:rPr>
        <w:sz w:val="22"/>
        <w:szCs w:val="22"/>
      </w:rPr>
    </w:pPr>
    <w:r>
      <w:rPr>
        <w:sz w:val="22"/>
        <w:szCs w:val="22"/>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DDD86A3">
                          <w:pPr>
                            <w:pStyle w:val="6"/>
                            <w:rPr>
                              <w:sz w:val="21"/>
                              <w:szCs w:val="21"/>
                            </w:rPr>
                          </w:pPr>
                          <w:r>
                            <w:rPr>
                              <w:sz w:val="21"/>
                              <w:szCs w:val="21"/>
                            </w:rPr>
                            <w:t xml:space="preserve">第 </w:t>
                          </w:r>
                          <w:r>
                            <w:rPr>
                              <w:sz w:val="21"/>
                              <w:szCs w:val="21"/>
                            </w:rPr>
                            <w:fldChar w:fldCharType="begin"/>
                          </w:r>
                          <w:r>
                            <w:rPr>
                              <w:sz w:val="21"/>
                              <w:szCs w:val="21"/>
                            </w:rPr>
                            <w:instrText xml:space="preserve"> PAGE  \* MERGEFORMAT </w:instrText>
                          </w:r>
                          <w:r>
                            <w:rPr>
                              <w:sz w:val="21"/>
                              <w:szCs w:val="21"/>
                            </w:rPr>
                            <w:fldChar w:fldCharType="separate"/>
                          </w:r>
                          <w:r>
                            <w:rPr>
                              <w:sz w:val="21"/>
                              <w:szCs w:val="21"/>
                            </w:rPr>
                            <w:t>- 1 -</w:t>
                          </w:r>
                          <w:r>
                            <w:rPr>
                              <w:sz w:val="21"/>
                              <w:szCs w:val="21"/>
                            </w:rPr>
                            <w:fldChar w:fldCharType="end"/>
                          </w:r>
                          <w:r>
                            <w:rPr>
                              <w:sz w:val="21"/>
                              <w:szCs w:val="21"/>
                            </w:rP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0DDD86A3">
                    <w:pPr>
                      <w:pStyle w:val="6"/>
                      <w:rPr>
                        <w:sz w:val="21"/>
                        <w:szCs w:val="21"/>
                      </w:rPr>
                    </w:pPr>
                    <w:r>
                      <w:rPr>
                        <w:sz w:val="21"/>
                        <w:szCs w:val="21"/>
                      </w:rPr>
                      <w:t xml:space="preserve">第 </w:t>
                    </w:r>
                    <w:r>
                      <w:rPr>
                        <w:sz w:val="21"/>
                        <w:szCs w:val="21"/>
                      </w:rPr>
                      <w:fldChar w:fldCharType="begin"/>
                    </w:r>
                    <w:r>
                      <w:rPr>
                        <w:sz w:val="21"/>
                        <w:szCs w:val="21"/>
                      </w:rPr>
                      <w:instrText xml:space="preserve"> PAGE  \* MERGEFORMAT </w:instrText>
                    </w:r>
                    <w:r>
                      <w:rPr>
                        <w:sz w:val="21"/>
                        <w:szCs w:val="21"/>
                      </w:rPr>
                      <w:fldChar w:fldCharType="separate"/>
                    </w:r>
                    <w:r>
                      <w:rPr>
                        <w:sz w:val="21"/>
                        <w:szCs w:val="21"/>
                      </w:rPr>
                      <w:t>- 1 -</w:t>
                    </w:r>
                    <w:r>
                      <w:rPr>
                        <w:sz w:val="21"/>
                        <w:szCs w:val="21"/>
                      </w:rPr>
                      <w:fldChar w:fldCharType="end"/>
                    </w:r>
                    <w:r>
                      <w:rPr>
                        <w:sz w:val="21"/>
                        <w:szCs w:val="21"/>
                      </w:rP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DA4E89D"/>
    <w:multiLevelType w:val="multilevel"/>
    <w:tmpl w:val="ADA4E89D"/>
    <w:lvl w:ilvl="0" w:tentative="0">
      <w:start w:val="1"/>
      <w:numFmt w:val="decimal"/>
      <w:lvlText w:val="%1."/>
      <w:lvlJc w:val="left"/>
      <w:pPr>
        <w:tabs>
          <w:tab w:val="left" w:pos="420"/>
        </w:tabs>
        <w:ind w:left="845" w:hanging="425"/>
      </w:pPr>
      <w:rPr>
        <w:rFonts w:hint="default"/>
      </w:rPr>
    </w:lvl>
    <w:lvl w:ilvl="1" w:tentative="0">
      <w:start w:val="1"/>
      <w:numFmt w:val="decimal"/>
      <w:lvlText w:val="(%2)"/>
      <w:lvlJc w:val="left"/>
      <w:pPr>
        <w:tabs>
          <w:tab w:val="left" w:pos="840"/>
        </w:tabs>
        <w:ind w:left="1260" w:leftChars="0" w:hanging="420" w:firstLineChars="0"/>
      </w:pPr>
      <w:rPr>
        <w:rFonts w:hint="default"/>
      </w:rPr>
    </w:lvl>
    <w:lvl w:ilvl="2" w:tentative="0">
      <w:start w:val="1"/>
      <w:numFmt w:val="decimalEnclosedCircleChinese"/>
      <w:lvlText w:val="%3"/>
      <w:lvlJc w:val="left"/>
      <w:pPr>
        <w:tabs>
          <w:tab w:val="left" w:pos="1260"/>
        </w:tabs>
        <w:ind w:left="1680" w:leftChars="0" w:hanging="420" w:firstLineChars="0"/>
      </w:pPr>
      <w:rPr>
        <w:rFonts w:hint="default"/>
      </w:rPr>
    </w:lvl>
    <w:lvl w:ilvl="3" w:tentative="0">
      <w:start w:val="1"/>
      <w:numFmt w:val="decimal"/>
      <w:lvlText w:val="%4)"/>
      <w:lvlJc w:val="left"/>
      <w:pPr>
        <w:tabs>
          <w:tab w:val="left" w:pos="1680"/>
        </w:tabs>
        <w:ind w:left="2100" w:leftChars="0" w:hanging="420" w:firstLineChars="0"/>
      </w:pPr>
      <w:rPr>
        <w:rFonts w:hint="default"/>
      </w:rPr>
    </w:lvl>
    <w:lvl w:ilvl="4" w:tentative="0">
      <w:start w:val="1"/>
      <w:numFmt w:val="lowerLetter"/>
      <w:lvlText w:val="%5."/>
      <w:lvlJc w:val="left"/>
      <w:pPr>
        <w:tabs>
          <w:tab w:val="left" w:pos="2100"/>
        </w:tabs>
        <w:ind w:left="2520" w:leftChars="0" w:hanging="420" w:firstLineChars="0"/>
      </w:pPr>
      <w:rPr>
        <w:rFonts w:hint="default"/>
      </w:rPr>
    </w:lvl>
    <w:lvl w:ilvl="5" w:tentative="0">
      <w:start w:val="1"/>
      <w:numFmt w:val="lowerLetter"/>
      <w:lvlText w:val="%6)"/>
      <w:lvlJc w:val="left"/>
      <w:pPr>
        <w:tabs>
          <w:tab w:val="left" w:pos="2520"/>
        </w:tabs>
        <w:ind w:left="2940" w:leftChars="0" w:hanging="420" w:firstLineChars="0"/>
      </w:pPr>
      <w:rPr>
        <w:rFonts w:hint="default"/>
      </w:rPr>
    </w:lvl>
    <w:lvl w:ilvl="6" w:tentative="0">
      <w:start w:val="1"/>
      <w:numFmt w:val="lowerRoman"/>
      <w:lvlText w:val="%7."/>
      <w:lvlJc w:val="left"/>
      <w:pPr>
        <w:tabs>
          <w:tab w:val="left" w:pos="2940"/>
        </w:tabs>
        <w:ind w:left="3360" w:leftChars="0" w:hanging="420" w:firstLineChars="0"/>
      </w:pPr>
      <w:rPr>
        <w:rFonts w:hint="default"/>
      </w:rPr>
    </w:lvl>
    <w:lvl w:ilvl="7" w:tentative="0">
      <w:start w:val="1"/>
      <w:numFmt w:val="lowerRoman"/>
      <w:lvlText w:val="%8)"/>
      <w:lvlJc w:val="left"/>
      <w:pPr>
        <w:tabs>
          <w:tab w:val="left" w:pos="3360"/>
        </w:tabs>
        <w:ind w:left="3780" w:leftChars="0" w:hanging="420" w:firstLineChars="0"/>
      </w:pPr>
      <w:rPr>
        <w:rFonts w:hint="default"/>
      </w:rPr>
    </w:lvl>
    <w:lvl w:ilvl="8" w:tentative="0">
      <w:start w:val="1"/>
      <w:numFmt w:val="lowerLetter"/>
      <w:lvlText w:val="%9."/>
      <w:lvlJc w:val="left"/>
      <w:pPr>
        <w:tabs>
          <w:tab w:val="left" w:pos="3780"/>
        </w:tabs>
        <w:ind w:left="4200" w:leftChars="0" w:hanging="420" w:firstLineChars="0"/>
      </w:pPr>
      <w:rPr>
        <w:rFonts w:hint="default"/>
      </w:rPr>
    </w:lvl>
  </w:abstractNum>
  <w:abstractNum w:abstractNumId="1">
    <w:nsid w:val="D9B39184"/>
    <w:multiLevelType w:val="singleLevel"/>
    <w:tmpl w:val="D9B39184"/>
    <w:lvl w:ilvl="0" w:tentative="0">
      <w:start w:val="2"/>
      <w:numFmt w:val="chineseCounting"/>
      <w:suff w:val="nothing"/>
      <w:lvlText w:val="%1、"/>
      <w:lvlJc w:val="left"/>
      <w:rPr>
        <w:rFonts w:hint="eastAsia"/>
      </w:rPr>
    </w:lvl>
  </w:abstractNum>
  <w:abstractNum w:abstractNumId="2">
    <w:nsid w:val="E51F29B1"/>
    <w:multiLevelType w:val="singleLevel"/>
    <w:tmpl w:val="E51F29B1"/>
    <w:lvl w:ilvl="0" w:tentative="0">
      <w:start w:val="1"/>
      <w:numFmt w:val="decimal"/>
      <w:lvlText w:val="%1."/>
      <w:lvlJc w:val="left"/>
      <w:pPr>
        <w:tabs>
          <w:tab w:val="left" w:pos="420"/>
        </w:tabs>
        <w:ind w:left="845" w:hanging="425"/>
      </w:pPr>
      <w:rPr>
        <w:rFonts w:hint="default"/>
      </w:rPr>
    </w:lvl>
  </w:abstractNum>
  <w:abstractNum w:abstractNumId="3">
    <w:nsid w:val="0053208E"/>
    <w:multiLevelType w:val="singleLevel"/>
    <w:tmpl w:val="0053208E"/>
    <w:lvl w:ilvl="0" w:tentative="0">
      <w:start w:val="1"/>
      <w:numFmt w:val="decimal"/>
      <w:pStyle w:val="13"/>
      <w:suff w:val="space"/>
      <w:lvlText w:val="第%1章"/>
      <w:lvlJc w:val="left"/>
      <w:rPr>
        <w:rFonts w:hint="default" w:ascii="黑体" w:hAnsi="黑体" w:eastAsia="黑体" w:cs="黑体"/>
        <w:b/>
        <w:i w:val="0"/>
        <w:strike w:val="0"/>
        <w:color w:val="auto"/>
        <w:position w:val="0"/>
        <w:sz w:val="44"/>
        <w:u w:val="none"/>
        <w:shd w:val="clear" w:color="auto" w:fill="auto"/>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9"/>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7C53F9A"/>
    <w:rsid w:val="02E72D15"/>
    <w:rsid w:val="03F23EC6"/>
    <w:rsid w:val="06AE5C02"/>
    <w:rsid w:val="09893BC2"/>
    <w:rsid w:val="0AD326A8"/>
    <w:rsid w:val="0C886EAB"/>
    <w:rsid w:val="0D720C8D"/>
    <w:rsid w:val="0E656153"/>
    <w:rsid w:val="17C53F9A"/>
    <w:rsid w:val="18DF60A5"/>
    <w:rsid w:val="1BE94188"/>
    <w:rsid w:val="1CF53419"/>
    <w:rsid w:val="270D1B20"/>
    <w:rsid w:val="28331B1C"/>
    <w:rsid w:val="28DA1E23"/>
    <w:rsid w:val="29955487"/>
    <w:rsid w:val="2ABA24CE"/>
    <w:rsid w:val="2D6F623F"/>
    <w:rsid w:val="377F1C9C"/>
    <w:rsid w:val="38892FBB"/>
    <w:rsid w:val="4143259F"/>
    <w:rsid w:val="44C47BA4"/>
    <w:rsid w:val="479B0D05"/>
    <w:rsid w:val="48475D84"/>
    <w:rsid w:val="5AB126F6"/>
    <w:rsid w:val="5E4044BD"/>
    <w:rsid w:val="64AE5AA2"/>
    <w:rsid w:val="75C5557C"/>
    <w:rsid w:val="76760196"/>
    <w:rsid w:val="795867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微软雅黑 Light" w:asciiTheme="minorAscii" w:hAnsiTheme="minorAscii"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unhideWhenUsed/>
    <w:qFormat/>
    <w:uiPriority w:val="0"/>
    <w:pPr>
      <w:keepNext/>
      <w:keepLines/>
      <w:spacing w:before="260" w:after="260" w:line="413" w:lineRule="auto"/>
      <w:outlineLvl w:val="1"/>
    </w:pPr>
    <w:rPr>
      <w:rFonts w:ascii="Arial" w:hAnsi="Arial" w:eastAsia="黑体"/>
      <w:b/>
      <w:sz w:val="32"/>
    </w:rPr>
  </w:style>
  <w:style w:type="paragraph" w:styleId="4">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footer"/>
    <w:basedOn w:val="1"/>
    <w:qFormat/>
    <w:uiPriority w:val="0"/>
    <w:pPr>
      <w:tabs>
        <w:tab w:val="center" w:pos="4153"/>
        <w:tab w:val="right" w:pos="8306"/>
      </w:tabs>
      <w:snapToGrid w:val="0"/>
      <w:jc w:val="left"/>
    </w:pPr>
    <w:rPr>
      <w:sz w:val="18"/>
      <w:szCs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Normal (Web)"/>
    <w:basedOn w:val="1"/>
    <w:qFormat/>
    <w:uiPriority w:val="0"/>
    <w:pPr>
      <w:spacing w:before="0" w:beforeAutospacing="1" w:after="0" w:afterAutospacing="1"/>
      <w:ind w:left="0" w:right="0"/>
      <w:jc w:val="left"/>
    </w:pPr>
    <w:rPr>
      <w:kern w:val="0"/>
      <w:sz w:val="24"/>
      <w:lang w:val="en-US" w:eastAsia="zh-CN" w:bidi="ar"/>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Strong"/>
    <w:basedOn w:val="11"/>
    <w:qFormat/>
    <w:uiPriority w:val="0"/>
    <w:rPr>
      <w:b/>
    </w:rPr>
  </w:style>
  <w:style w:type="paragraph" w:customStyle="1" w:styleId="13">
    <w:name w:val="标题1"/>
    <w:basedOn w:val="14"/>
    <w:qFormat/>
    <w:uiPriority w:val="0"/>
    <w:pPr>
      <w:numPr>
        <w:ilvl w:val="0"/>
        <w:numId w:val="1"/>
      </w:num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before="340" w:after="340" w:line="360" w:lineRule="auto"/>
    </w:pPr>
    <w:rPr>
      <w:rFonts w:ascii="黑体" w:hAnsi="黑体" w:eastAsia="黑体" w:cs="黑体"/>
      <w:b/>
      <w:bCs/>
      <w:sz w:val="44"/>
      <w:szCs w:val="44"/>
    </w:rPr>
  </w:style>
  <w:style w:type="paragraph" w:customStyle="1" w:styleId="14">
    <w:name w:val="[Normal]"/>
    <w:qFormat/>
    <w:uiPriority w:val="0"/>
    <w:pPr>
      <w:widowControl w:val="0"/>
      <w:shd w:val="clear" w:color="auto" w:fill="auto"/>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before="0" w:after="0" w:line="240" w:lineRule="auto"/>
      <w:ind w:left="0" w:right="0" w:firstLine="0"/>
      <w:jc w:val="left"/>
    </w:pPr>
    <w:rPr>
      <w:rFonts w:ascii="宋体" w:hAnsi="宋体" w:eastAsia="宋体" w:cs="宋体"/>
      <w:color w:val="auto"/>
      <w:position w:val="0"/>
      <w:sz w:val="24"/>
      <w:szCs w:val="24"/>
      <w:shd w:val="clear" w:color="auto" w:fill="auto"/>
      <w:rtl w:val="0"/>
      <w:lang w:val="zh-CN" w:eastAsia="zh-CN" w:bidi="zh-CN"/>
    </w:rPr>
  </w:style>
  <w:style w:type="character" w:customStyle="1" w:styleId="15">
    <w:name w:val="font01"/>
    <w:basedOn w:val="11"/>
    <w:qFormat/>
    <w:uiPriority w:val="0"/>
    <w:rPr>
      <w:rFonts w:hint="default" w:ascii="Calibri" w:hAnsi="Calibri" w:cs="Calibri"/>
      <w:color w:val="000000"/>
      <w:sz w:val="22"/>
      <w:szCs w:val="22"/>
      <w:u w:val="none"/>
    </w:rPr>
  </w:style>
  <w:style w:type="character" w:customStyle="1" w:styleId="16">
    <w:name w:val="font11"/>
    <w:basedOn w:val="11"/>
    <w:qFormat/>
    <w:uiPriority w:val="0"/>
    <w:rPr>
      <w:rFonts w:hint="eastAsia" w:ascii="宋体" w:hAnsi="宋体" w:eastAsia="宋体" w:cs="宋体"/>
      <w:color w:val="000000"/>
      <w:sz w:val="22"/>
      <w:szCs w:val="22"/>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1312</Words>
  <Characters>1343</Characters>
  <Lines>0</Lines>
  <Paragraphs>0</Paragraphs>
  <TotalTime>25</TotalTime>
  <ScaleCrop>false</ScaleCrop>
  <LinksUpToDate>false</LinksUpToDate>
  <CharactersWithSpaces>1344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2025-03-07T02:02:00Z</dcterms:created>
  <dc:creator>暖阳</dc:creator>
  <cp:lastModifiedBy>王培莹</cp:lastModifiedBy>
  <dcterms:modified xsi:type="dcterms:W3CDTF">2026-03-13T02:50:42Z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84FACB7FA35648A0AADCFB7A475AE09C_13</vt:lpwstr>
  </property>
  <property fmtid="{D5CDD505-2E9C-101B-9397-08002B2CF9AE}" pid="4" name="KSOTemplateDocerSaveRecord">
    <vt:lpwstr>eyJoZGlkIjoiYzhhMjYwYjJlZTFmNDExMjA5YjgwMDU3OTdjZjQ3ZDciLCJ1c2VySWQiOiIzMDcxNjUyMDUifQ==</vt:lpwstr>
  </property>
</Properties>
</file>