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A405EF">
      <w:pPr>
        <w:widowControl/>
        <w:jc w:val="center"/>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项目需求</w:t>
      </w:r>
    </w:p>
    <w:p w14:paraId="092279D2">
      <w:pPr>
        <w:widowControl/>
        <w:jc w:val="left"/>
        <w:rPr>
          <w:rFonts w:hint="eastAsia" w:ascii="Calibri" w:hAnsi="Calibri" w:eastAsia="宋体" w:cs="Times New Roman"/>
          <w:szCs w:val="21"/>
          <w:lang w:val="en-US" w:eastAsia="zh-CN"/>
        </w:rPr>
      </w:pPr>
    </w:p>
    <w:p w14:paraId="01D3DBD4">
      <w:pPr>
        <w:widowControl/>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1、要求案例库提供方有完善的案例评选机制和流程，规范的案例撰写标准和指导文件，确保案例的高质量水平，满足教师的切实需求；</w:t>
      </w:r>
    </w:p>
    <w:p w14:paraId="448ECB5B">
      <w:pPr>
        <w:widowControl/>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2、采购的案例库至少收录2000篇以上高水平案例，至少曾为50所高校教师、50万人次学生提供过案例库使用服务；</w:t>
      </w:r>
    </w:p>
    <w:p w14:paraId="2CC5677C">
      <w:pPr>
        <w:widowControl/>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3、和国际知名案例库（如哈佛、毅伟等）开展合作，可提供至少1000篇国际知名案例库中的中国主题的中文案例；且要确保每年新增高质量案例120篇以上，以保障可选用的案例规模增长的持续性；</w:t>
      </w:r>
    </w:p>
    <w:p w14:paraId="366BFB37">
      <w:pPr>
        <w:rPr>
          <w:rFonts w:hint="eastAsia" w:ascii="仿宋" w:hAnsi="仿宋" w:eastAsia="仿宋" w:cs="仿宋"/>
          <w:sz w:val="28"/>
          <w:szCs w:val="28"/>
        </w:rPr>
      </w:pPr>
      <w:r>
        <w:rPr>
          <w:rFonts w:hint="eastAsia" w:ascii="仿宋" w:hAnsi="仿宋" w:eastAsia="仿宋" w:cs="仿宋"/>
          <w:sz w:val="28"/>
          <w:szCs w:val="28"/>
          <w:lang w:val="en-US" w:eastAsia="zh-CN"/>
        </w:rPr>
        <w:t>4、案例库提供方可提供案例开发和案例教学等相关方面的培训服务，可以更好地支持我校案例库建设工作。</w:t>
      </w:r>
    </w:p>
    <w:p w14:paraId="25C3025C"/>
    <w:p w14:paraId="72A59EFA"/>
    <w:p w14:paraId="5B5D8208">
      <w:pPr>
        <w:snapToGrid w:val="0"/>
        <w:spacing w:line="384" w:lineRule="auto"/>
        <w:jc w:val="center"/>
        <w:rPr>
          <w:rFonts w:hint="eastAsia" w:ascii="黑体" w:hAnsi="黑体" w:eastAsia="黑体"/>
          <w:b/>
          <w:sz w:val="40"/>
          <w:szCs w:val="40"/>
        </w:rPr>
      </w:pPr>
    </w:p>
    <w:p w14:paraId="7575432F">
      <w:pPr>
        <w:snapToGrid w:val="0"/>
        <w:spacing w:line="384" w:lineRule="auto"/>
        <w:jc w:val="center"/>
        <w:rPr>
          <w:rFonts w:hint="eastAsia" w:ascii="仿宋" w:hAnsi="仿宋" w:eastAsia="仿宋" w:cs="仿宋"/>
          <w:sz w:val="28"/>
          <w:szCs w:val="28"/>
        </w:rPr>
      </w:pPr>
      <w:r>
        <w:rPr>
          <w:rFonts w:hint="eastAsia" w:ascii="黑体" w:hAnsi="黑体" w:eastAsia="黑体"/>
          <w:b/>
          <w:sz w:val="40"/>
          <w:szCs w:val="40"/>
        </w:rPr>
        <w:t>关于购买中国工商管理国际案例库的</w:t>
      </w:r>
      <w:r>
        <w:rPr>
          <w:rFonts w:hint="eastAsia" w:ascii="黑体" w:hAnsi="黑体" w:eastAsia="黑体"/>
          <w:b/>
          <w:sz w:val="40"/>
          <w:szCs w:val="40"/>
          <w:lang w:val="en-US" w:eastAsia="zh-CN"/>
        </w:rPr>
        <w:t>论证报告</w:t>
      </w:r>
    </w:p>
    <w:p w14:paraId="3773F299">
      <w:pPr>
        <w:ind w:firstLine="560" w:firstLineChars="200"/>
        <w:rPr>
          <w:rFonts w:ascii="仿宋" w:hAnsi="仿宋" w:eastAsia="仿宋" w:cs="仿宋"/>
          <w:sz w:val="28"/>
          <w:szCs w:val="28"/>
        </w:rPr>
      </w:pPr>
      <w:r>
        <w:rPr>
          <w:rFonts w:hint="eastAsia" w:ascii="仿宋" w:hAnsi="仿宋" w:eastAsia="仿宋" w:cs="仿宋"/>
          <w:sz w:val="28"/>
          <w:szCs w:val="28"/>
        </w:rPr>
        <w:t>案例教学法能够将理论与实践、知识与能力很好的融合，提高学生分析解决现实管理问题的能力，是培养商科学生综合素质的关键环节，也有助于提升教师的教学水平和科研水平。</w:t>
      </w:r>
    </w:p>
    <w:p w14:paraId="391D289D">
      <w:pPr>
        <w:ind w:firstLine="560" w:firstLineChars="200"/>
        <w:rPr>
          <w:rFonts w:ascii="仿宋" w:hAnsi="仿宋" w:eastAsia="仿宋" w:cs="仿宋"/>
          <w:sz w:val="28"/>
          <w:szCs w:val="28"/>
        </w:rPr>
      </w:pPr>
      <w:r>
        <w:rPr>
          <w:rFonts w:hint="eastAsia" w:ascii="仿宋" w:hAnsi="仿宋" w:eastAsia="仿宋" w:cs="仿宋"/>
          <w:sz w:val="28"/>
          <w:szCs w:val="28"/>
        </w:rPr>
        <w:t>目前，很多国内院校案例教学和案例开发还需要更多关注和投入，通过与中欧国际工商学院案例中心的合作，可以进一步促进教师案例教学和案例开发水平，提升办学质量。长远来看，使用国内领先的国际化案例库对于提升用户院校的品牌实力和市场竞争力非常重要。</w:t>
      </w:r>
    </w:p>
    <w:p w14:paraId="762EB0BE">
      <w:pPr>
        <w:ind w:firstLine="560" w:firstLineChars="200"/>
        <w:rPr>
          <w:rFonts w:ascii="仿宋" w:hAnsi="仿宋" w:eastAsia="仿宋" w:cs="仿宋"/>
          <w:sz w:val="28"/>
          <w:szCs w:val="28"/>
        </w:rPr>
      </w:pPr>
      <w:r>
        <w:rPr>
          <w:rFonts w:hint="eastAsia" w:ascii="仿宋" w:hAnsi="仿宋" w:eastAsia="仿宋" w:cs="仿宋"/>
          <w:sz w:val="28"/>
          <w:szCs w:val="28"/>
        </w:rPr>
        <w:t>以下内容将从案例库建设、案例教学及案例开发、合作与交流情况等三个方面论述购买使用中国工商管理国际案例库的必要性。</w:t>
      </w:r>
    </w:p>
    <w:p w14:paraId="2852C4B2">
      <w:pPr>
        <w:ind w:firstLine="560" w:firstLineChars="200"/>
        <w:rPr>
          <w:rFonts w:ascii="仿宋" w:hAnsi="仿宋" w:eastAsia="仿宋" w:cs="仿宋"/>
          <w:sz w:val="28"/>
          <w:szCs w:val="28"/>
        </w:rPr>
      </w:pPr>
    </w:p>
    <w:p w14:paraId="783F6F11">
      <w:pPr>
        <w:ind w:firstLine="562" w:firstLineChars="200"/>
        <w:rPr>
          <w:rFonts w:ascii="仿宋" w:hAnsi="仿宋" w:eastAsia="仿宋" w:cs="仿宋"/>
          <w:b/>
          <w:bCs/>
          <w:sz w:val="28"/>
          <w:szCs w:val="28"/>
        </w:rPr>
      </w:pPr>
      <w:r>
        <w:rPr>
          <w:rFonts w:hint="eastAsia" w:ascii="仿宋" w:hAnsi="仿宋" w:eastAsia="仿宋" w:cs="仿宋"/>
          <w:b/>
          <w:bCs/>
          <w:sz w:val="28"/>
          <w:szCs w:val="28"/>
        </w:rPr>
        <w:t>一、案例库建设情况</w:t>
      </w:r>
    </w:p>
    <w:p w14:paraId="5D27086E">
      <w:pPr>
        <w:ind w:firstLine="560" w:firstLineChars="200"/>
        <w:rPr>
          <w:rFonts w:hint="eastAsia" w:ascii="仿宋" w:hAnsi="仿宋" w:eastAsia="仿宋" w:cs="仿宋"/>
          <w:sz w:val="28"/>
          <w:szCs w:val="28"/>
        </w:rPr>
      </w:pPr>
      <w:r>
        <w:rPr>
          <w:rFonts w:hint="eastAsia" w:ascii="仿宋" w:hAnsi="仿宋" w:eastAsia="仿宋" w:cs="仿宋"/>
          <w:sz w:val="28"/>
          <w:szCs w:val="28"/>
        </w:rPr>
        <w:t>中欧国际工商学院经过近30年努力，在案例建设方面取得</w:t>
      </w:r>
      <w:r>
        <w:rPr>
          <w:rFonts w:hint="eastAsia" w:ascii="仿宋" w:hAnsi="仿宋" w:eastAsia="仿宋" w:cs="仿宋"/>
          <w:sz w:val="28"/>
          <w:szCs w:val="28"/>
          <w:lang w:val="en-US" w:eastAsia="zh-CN"/>
        </w:rPr>
        <w:t>了令人瞩目的成就</w:t>
      </w:r>
      <w:r>
        <w:rPr>
          <w:rFonts w:hint="eastAsia" w:ascii="仿宋" w:hAnsi="仿宋" w:eastAsia="仿宋" w:cs="仿宋"/>
          <w:sz w:val="28"/>
          <w:szCs w:val="28"/>
        </w:rPr>
        <w:t>。尤其是自2013 年开始，在上海市教委、市学位办和上海市 MBA教指委的支持下，和上海地区各大商学院一起承担建设“上海MBA课程案例库开发共享平台”项目并运营“中国工商管理国际案例库”(ChinaCases.Org)，并于2020年年中开始向全国推广该案例库。</w:t>
      </w:r>
    </w:p>
    <w:p w14:paraId="7C02AB42">
      <w:pPr>
        <w:ind w:firstLine="560" w:firstLineChars="200"/>
        <w:rPr>
          <w:rFonts w:ascii="仿宋" w:hAnsi="仿宋" w:eastAsia="仿宋" w:cs="仿宋"/>
          <w:sz w:val="28"/>
          <w:szCs w:val="28"/>
        </w:rPr>
      </w:pPr>
      <w:r>
        <w:rPr>
          <w:rFonts w:hint="eastAsia" w:ascii="仿宋" w:hAnsi="仿宋" w:eastAsia="仿宋" w:cs="仿宋"/>
          <w:sz w:val="28"/>
          <w:szCs w:val="28"/>
          <w:lang w:val="en-US" w:eastAsia="zh-CN"/>
        </w:rPr>
        <w:t>截至 2025 年 7 月底，</w:t>
      </w:r>
      <w:r>
        <w:rPr>
          <w:rFonts w:hint="eastAsia" w:ascii="仿宋" w:hAnsi="仿宋" w:eastAsia="仿宋" w:cs="仿宋"/>
          <w:sz w:val="28"/>
          <w:szCs w:val="28"/>
        </w:rPr>
        <w:t>中国工商管理国际</w:t>
      </w:r>
      <w:r>
        <w:rPr>
          <w:rFonts w:hint="eastAsia" w:ascii="仿宋" w:hAnsi="仿宋" w:eastAsia="仿宋" w:cs="仿宋"/>
          <w:sz w:val="28"/>
          <w:szCs w:val="28"/>
          <w:lang w:val="en-US" w:eastAsia="zh-CN"/>
        </w:rPr>
        <w:t>案例库已为全国 172 所院校、12000 多位教师提供服务。用户院校广泛分布于全国各地，类型多样。值得关注的是，目前国内 C9/985/211/AACSB/EQUIS/AMBA 等院校中约 80%已经成为 ChinaCases.Org 案例库用户。</w:t>
      </w:r>
      <w:r>
        <w:rPr>
          <w:rFonts w:hint="eastAsia" w:ascii="仿宋" w:hAnsi="仿宋" w:eastAsia="仿宋" w:cs="仿宋"/>
          <w:sz w:val="28"/>
          <w:szCs w:val="28"/>
        </w:rPr>
        <w:t>据最新统计，2024年度ChinaCases.Org案例库用户教师共下载8600+篇次案例用于课堂教学（比2023年度增长53%），覆盖学生超过46万人次（增长54%）。</w:t>
      </w:r>
      <w:r>
        <w:rPr>
          <w:rFonts w:hint="eastAsia" w:ascii="仿宋" w:hAnsi="仿宋" w:eastAsia="仿宋" w:cs="仿宋"/>
          <w:sz w:val="28"/>
          <w:szCs w:val="28"/>
          <w:lang w:val="en-US" w:eastAsia="zh-CN"/>
        </w:rPr>
        <w:t>2025年1-7月ChinaCases.Org案例库用户教师共下载 5494篇次案例用于课堂教学（同比增长 46%），覆盖学生超过27万人次（同比增长 32%）。</w:t>
      </w:r>
      <w:r>
        <w:rPr>
          <w:rFonts w:hint="eastAsia" w:ascii="仿宋" w:hAnsi="仿宋" w:eastAsia="仿宋" w:cs="仿宋"/>
          <w:sz w:val="28"/>
          <w:szCs w:val="28"/>
        </w:rPr>
        <w:t>同时，20000+篇次预览版案例和15000+篇次教学笔记被下载参考（分别增长76%和53%）。累计覆盖学生逾150万人次。案例教学在商学院课堂中普及度逐年提高，案例教学法必将成为商学院教学主流方式。</w:t>
      </w:r>
    </w:p>
    <w:p w14:paraId="3494DDBB">
      <w:pPr>
        <w:ind w:firstLine="560" w:firstLineChars="200"/>
        <w:rPr>
          <w:rFonts w:ascii="仿宋" w:hAnsi="仿宋" w:eastAsia="仿宋" w:cs="仿宋"/>
          <w:sz w:val="28"/>
          <w:szCs w:val="28"/>
        </w:rPr>
      </w:pPr>
      <w:r>
        <w:rPr>
          <w:rFonts w:hint="eastAsia" w:ascii="仿宋" w:hAnsi="仿宋" w:eastAsia="仿宋" w:cs="仿宋"/>
          <w:sz w:val="28"/>
          <w:szCs w:val="28"/>
        </w:rPr>
        <w:t>2024年11月7日，全球知名商科教育案例库——欧洲案例交流中心（The Case Centre）发布“2024全球案例影响力指数” （The Case Centre Impact Index 2024），根据案例写作的全球影响力和覆盖范围评选出排名前50强的商学院。中欧国际工商学院位列第21名，比去年跃升5个名次，继续成为中国大陆唯一入选此排名的商学院。欧洲案例交流中心发布的“全球案例影响力指数”是基于其上一学年（9月1日-8月31日）的案例实际使用数据，主要衡量指标包括案例使用篇数、使用量（学生人次数）、案例被多少国家的院校采用、案例使用院校和机构数量等，以评估该院校的案例开发在全球的影响力。凡在上一学年向欧洲案例交流中心提交过至少一篇案例的所有案例开发院校和机构均有资格参选。2024年排名前50强是从452所符合条件的院校中产生。</w:t>
      </w:r>
    </w:p>
    <w:p w14:paraId="56157847">
      <w:pPr>
        <w:ind w:firstLine="560" w:firstLineChars="200"/>
        <w:rPr>
          <w:rFonts w:ascii="仿宋" w:hAnsi="仿宋" w:eastAsia="仿宋" w:cs="仿宋"/>
          <w:sz w:val="28"/>
          <w:szCs w:val="28"/>
        </w:rPr>
      </w:pPr>
    </w:p>
    <w:p w14:paraId="4E0B20D4">
      <w:pPr>
        <w:ind w:firstLine="562" w:firstLineChars="200"/>
        <w:rPr>
          <w:rFonts w:ascii="仿宋" w:hAnsi="仿宋" w:eastAsia="仿宋" w:cs="仿宋"/>
          <w:b/>
          <w:bCs/>
          <w:sz w:val="28"/>
          <w:szCs w:val="28"/>
        </w:rPr>
      </w:pPr>
      <w:r>
        <w:rPr>
          <w:rFonts w:hint="eastAsia" w:ascii="仿宋" w:hAnsi="仿宋" w:eastAsia="仿宋" w:cs="仿宋"/>
          <w:b/>
          <w:bCs/>
          <w:sz w:val="28"/>
          <w:szCs w:val="28"/>
        </w:rPr>
        <w:t>二、案例教学及案例开发情况</w:t>
      </w:r>
    </w:p>
    <w:p w14:paraId="1BF75350">
      <w:pPr>
        <w:ind w:firstLine="560" w:firstLineChars="200"/>
        <w:rPr>
          <w:rFonts w:ascii="仿宋" w:hAnsi="仿宋" w:eastAsia="仿宋" w:cs="仿宋"/>
          <w:sz w:val="28"/>
          <w:szCs w:val="28"/>
        </w:rPr>
      </w:pPr>
      <w:r>
        <w:rPr>
          <w:rFonts w:hint="eastAsia" w:ascii="仿宋" w:hAnsi="仿宋" w:eastAsia="仿宋" w:cs="仿宋"/>
          <w:sz w:val="28"/>
          <w:szCs w:val="28"/>
        </w:rPr>
        <w:t>每年ChinaCases.Org案例库通过 “中国工商管理国际最佳案例奖”评选活动向全球征集案例，活动举办9年来始终坚持“聚焦中国问题，坚持国际标准”，形成了一整套与国际案例库要求接轨的案例评审标准和规范流程；搭建了初审、盲审、学科编辑与主编评审的严谨的入库评审体系；而来自案例领域的60多位国内外资深专家队伍，则代表了竞赛的专业度、国际性和权威性。2015-2023年期间，共吸引来自国内外 460 多所院校和机构的 3,300多位作者参赛，累计提交案例 2,350 篇。经过严格的评审，其中 1,100 多篇达到入库标准并上线，105篇案例获奖。</w:t>
      </w:r>
    </w:p>
    <w:p w14:paraId="7A43E5EC">
      <w:pPr>
        <w:ind w:firstLine="560" w:firstLineChars="200"/>
        <w:rPr>
          <w:rFonts w:ascii="仿宋" w:hAnsi="仿宋" w:eastAsia="仿宋" w:cs="仿宋"/>
          <w:sz w:val="28"/>
          <w:szCs w:val="28"/>
        </w:rPr>
      </w:pPr>
      <w:r>
        <w:rPr>
          <w:rFonts w:hint="eastAsia" w:ascii="仿宋" w:hAnsi="仿宋" w:eastAsia="仿宋" w:cs="仿宋"/>
          <w:sz w:val="28"/>
          <w:szCs w:val="28"/>
        </w:rPr>
        <w:t>中欧案例中心与全国各大高校联合举办“案例大师成长营”培训活动，由中欧教授示范案例教学并分享中国主题案例的教学和开发经验。2016年迄今已举办26个班级，来自全球20个国家和地区的330多所院校的1,800多名教师参加了成长营。2024年开始，在全国MBA教指委指导下，该培训活动由中欧国际工商学院与中国学位与研究生教育学会联合主办。</w:t>
      </w:r>
    </w:p>
    <w:p w14:paraId="19D881FA">
      <w:pPr>
        <w:ind w:firstLine="560" w:firstLineChars="200"/>
        <w:rPr>
          <w:rFonts w:ascii="仿宋" w:hAnsi="仿宋" w:eastAsia="仿宋" w:cs="仿宋"/>
          <w:sz w:val="28"/>
          <w:szCs w:val="28"/>
        </w:rPr>
      </w:pPr>
      <w:r>
        <w:rPr>
          <w:rFonts w:hint="eastAsia" w:ascii="仿宋" w:hAnsi="仿宋" w:eastAsia="仿宋" w:cs="仿宋"/>
          <w:sz w:val="28"/>
          <w:szCs w:val="28"/>
        </w:rPr>
        <w:t>中欧案例中心每年承办上海MBA案例教学大赛，征集有典型性、代表性的高水平案例教学课堂视频，以示范和带动更多的教师开发和选择高质量案例教学、提升案例教学水平，并搭建一个高水平案例教学的交流、学习和合作平台。获奖的教学视频将通过ChinaCases.Org案例库向用户院校教师开放观摩。2024年开始，该教学大赛扩大到全国范围——定向邀请全国在工商管理学科案例教学领域发展活跃的各大院校参赛。</w:t>
      </w:r>
    </w:p>
    <w:p w14:paraId="155B42C1">
      <w:pPr>
        <w:ind w:firstLine="560" w:firstLineChars="200"/>
        <w:rPr>
          <w:rFonts w:ascii="仿宋" w:hAnsi="仿宋" w:eastAsia="仿宋" w:cs="仿宋"/>
          <w:sz w:val="28"/>
          <w:szCs w:val="28"/>
        </w:rPr>
      </w:pPr>
      <w:r>
        <w:rPr>
          <w:rFonts w:hint="eastAsia" w:ascii="仿宋" w:hAnsi="仿宋" w:eastAsia="仿宋" w:cs="仿宋"/>
          <w:sz w:val="28"/>
          <w:szCs w:val="28"/>
        </w:rPr>
        <w:t>此外，中欧案例中心积极主办各类案例主题交流活动。例如，2023年“高质量案例教学开发经验交流会”，该活动得到了广大商学院教师的热情关注，线下参会人数超过150人，线上参与人数接近2,000人次；2023年5月，与南开大学商学院联合主办的“深挖实践‘富矿’，讲好中国故事——面向管理实践转型的案例教学与研究高端论坛”在天津顺利举行，吸引了来自70多所院校140多位教师以及多家知名企业负责人参加；2022年8月，受上海市教委委托，主办上海高校研究生导师专业能力提升学科工作坊--工商管理专业学位案例开发与教学专场，支持各院校办学；2022年开始，每年举办“案例开发共创营”，通过案例开发途径，链接高校老师和案例企业。是为ChinaCase.Org 案例库用户院校特设的专场活动。自2023年6月1日在苏州大学商学院第一次举办“案例大师Mini成长营”以来，已顺利举办50期，与50家案例库用户院校2000多位一线教师面对面交流培训，赋能教师课堂案例教学。</w:t>
      </w:r>
    </w:p>
    <w:p w14:paraId="21FF1562">
      <w:pPr>
        <w:ind w:firstLine="560" w:firstLineChars="200"/>
        <w:rPr>
          <w:rFonts w:ascii="仿宋" w:hAnsi="仿宋" w:eastAsia="仿宋" w:cs="仿宋"/>
          <w:sz w:val="28"/>
          <w:szCs w:val="28"/>
        </w:rPr>
      </w:pPr>
      <w:r>
        <w:rPr>
          <w:rFonts w:hint="eastAsia" w:ascii="仿宋" w:hAnsi="仿宋" w:eastAsia="仿宋" w:cs="仿宋"/>
          <w:sz w:val="28"/>
          <w:szCs w:val="28"/>
        </w:rPr>
        <w:t>2024年4月以来，中欧案例中心分别与江西财大、湖南大学、西南财大、上海海事大学、山西财大、山东财大、兰州财经大学、西北大学联合举办南昌站、长沙站、成都站、临港站、太原站、济南站、兰州站、西安站等案例课堂体验与教学实践研讨会，8场区域研讨会吸引了100多所院校的500多位领导和一线教师参加，激发了商科教师开展案例教学实践的活力与灵感。2024年首次联合中国学位与研究生教育学会签署合作备忘录，两期案例大师成长营暨MBA培养院校师资案例能力专训营成功举办；10月，双方又联合举办了“全国MBA培养院校课堂体验与案例建设研讨会暨2024管理案例国际化论坛”，受到广泛关注，论坛吸引了170多所院校300多位领导和老师参会。两大常规旗舰竞赛——“中国工商管理国际最佳案例奖”、“中国工商管理案例教学邀请赛”顺利举办，投稿量持续增长。“案例开发共创营”、“案例百校行”交流活动与“案例大师mini成长营”院校专场培训广受欢迎。</w:t>
      </w:r>
    </w:p>
    <w:p w14:paraId="66614886">
      <w:pPr>
        <w:ind w:firstLine="560" w:firstLineChars="200"/>
        <w:rPr>
          <w:rFonts w:ascii="仿宋" w:hAnsi="仿宋" w:eastAsia="仿宋" w:cs="仿宋"/>
          <w:sz w:val="28"/>
          <w:szCs w:val="28"/>
        </w:rPr>
      </w:pPr>
    </w:p>
    <w:p w14:paraId="51E427F8">
      <w:pPr>
        <w:ind w:firstLine="562" w:firstLineChars="200"/>
        <w:rPr>
          <w:rFonts w:ascii="仿宋" w:hAnsi="仿宋" w:eastAsia="仿宋" w:cs="仿宋"/>
          <w:b/>
          <w:bCs/>
          <w:sz w:val="28"/>
          <w:szCs w:val="28"/>
        </w:rPr>
      </w:pPr>
      <w:r>
        <w:rPr>
          <w:rFonts w:hint="eastAsia" w:ascii="仿宋" w:hAnsi="仿宋" w:eastAsia="仿宋" w:cs="仿宋"/>
          <w:b/>
          <w:bCs/>
          <w:sz w:val="28"/>
          <w:szCs w:val="28"/>
        </w:rPr>
        <w:t>三、合作与交流情况</w:t>
      </w:r>
    </w:p>
    <w:p w14:paraId="0B36F0C5">
      <w:pPr>
        <w:ind w:firstLine="560" w:firstLineChars="200"/>
        <w:rPr>
          <w:rFonts w:ascii="仿宋" w:hAnsi="仿宋" w:eastAsia="仿宋" w:cs="仿宋"/>
          <w:sz w:val="28"/>
          <w:szCs w:val="28"/>
        </w:rPr>
      </w:pPr>
      <w:r>
        <w:rPr>
          <w:rFonts w:hint="eastAsia" w:ascii="仿宋" w:hAnsi="仿宋" w:eastAsia="仿宋" w:cs="仿宋"/>
          <w:sz w:val="28"/>
          <w:szCs w:val="28"/>
        </w:rPr>
        <w:t>中欧案例中心持续深化与哈佛、毅伟案例库案例库合作，助推中国案例进入全球管理教育领域。经过8年沟通，中欧与哈佛案例库于2019年开始建立合作联系，目前已有138篇中欧案例进入哈佛案例库，其中8篇案例在短短一年多时间内成为全球畅销案例；中欧自2005年与毅伟案例库建立了合作，已向毅伟案例库输送了200多篇中欧案例；2020年双方进一步加强合作，毅伟案例库中以中国主题为主的中文案例加入ChinaCases.Org案例库 （目前1,150多篇已上线）。2024年</w:t>
      </w:r>
      <w:r>
        <w:rPr>
          <w:rFonts w:hint="eastAsia" w:ascii="仿宋" w:hAnsi="仿宋" w:eastAsia="仿宋" w:cs="仿宋"/>
          <w:sz w:val="28"/>
          <w:szCs w:val="28"/>
          <w:lang w:val="en-US" w:eastAsia="zh-CN"/>
        </w:rPr>
        <w:t>是</w:t>
      </w:r>
      <w:r>
        <w:rPr>
          <w:rFonts w:hint="eastAsia" w:ascii="仿宋" w:hAnsi="仿宋" w:eastAsia="仿宋" w:cs="仿宋"/>
          <w:sz w:val="28"/>
          <w:szCs w:val="28"/>
        </w:rPr>
        <w:t>中欧国际工商学院三十周年，中欧案例中心在“聚焦中国主题案例，贡献全球管理教育”使命和“建成全球最具影响力的中国主题案例库”愿景的指引下凝心聚力，取得了长足的发展，海内外影响力持续提升：在欧洲案例交流中心发布“2024全球案例影响力指数”排名中，中欧位列第21名，比去年跃升5个名次，继续成为中国大陆唯一入选此排名的商学院。“国际直通车”项目启动，选送首批11篇由外校开发、并与中欧共有版权的案例提交毅伟案例库、欧洲案例交流中心和日本案例中心三大国际案例库，彰显案例库平台的价值</w:t>
      </w:r>
    </w:p>
    <w:p w14:paraId="38DE26FE">
      <w:pPr>
        <w:ind w:firstLine="560" w:firstLineChars="200"/>
        <w:rPr>
          <w:rFonts w:ascii="仿宋" w:hAnsi="仿宋" w:eastAsia="仿宋" w:cs="仿宋"/>
          <w:sz w:val="28"/>
          <w:szCs w:val="28"/>
        </w:rPr>
      </w:pPr>
      <w:r>
        <w:rPr>
          <w:rFonts w:hint="eastAsia" w:ascii="仿宋" w:hAnsi="仿宋" w:eastAsia="仿宋" w:cs="仿宋"/>
          <w:sz w:val="28"/>
          <w:szCs w:val="28"/>
        </w:rPr>
        <w:t>中欧及ChinaCases.Org案例库、哈佛、毅伟同为国际案例发行机构联盟（ICCP）成员，其会员均为全球案例开发与案例发行领域的重要机构。作为ICCP中唯一来自中国大陆的成员机构，中欧希望将其自身在国际案例库的发表经验，逐步复制和拓展到所有通过竞赛选拔、来自国内各大商学院的优秀案例，让更多高质量中国案例进入全球商学院课堂、讲好中国故事、提供中国智慧和中国方案。</w:t>
      </w:r>
    </w:p>
    <w:p w14:paraId="3D8AA634">
      <w:pPr>
        <w:spacing w:line="300" w:lineRule="atLeast"/>
        <w:ind w:firstLine="560" w:firstLineChars="200"/>
        <w:rPr>
          <w:rFonts w:hint="eastAsia" w:ascii="仿宋" w:hAnsi="仿宋" w:eastAsia="仿宋" w:cs="Times New Roman"/>
          <w:sz w:val="28"/>
          <w:szCs w:val="28"/>
        </w:rPr>
      </w:pPr>
      <w:r>
        <w:rPr>
          <w:rFonts w:hint="eastAsia" w:ascii="仿宋" w:hAnsi="仿宋" w:eastAsia="仿宋" w:cs="Times New Roman"/>
          <w:sz w:val="28"/>
          <w:szCs w:val="28"/>
        </w:rPr>
        <w:t>为充</w:t>
      </w:r>
      <w:r>
        <w:rPr>
          <w:rFonts w:ascii="仿宋" w:hAnsi="仿宋" w:eastAsia="仿宋" w:cs="Times New Roman"/>
          <w:sz w:val="28"/>
          <w:szCs w:val="28"/>
        </w:rPr>
        <w:t>分</w:t>
      </w:r>
      <w:r>
        <w:rPr>
          <w:rFonts w:hint="eastAsia" w:ascii="仿宋" w:hAnsi="仿宋" w:eastAsia="仿宋" w:cs="Times New Roman"/>
          <w:sz w:val="28"/>
          <w:szCs w:val="28"/>
        </w:rPr>
        <w:t>推进案例教学在本土商学院的发展，发挥各自在案例开发、教学和中国主题案例库建设方面的优势，中欧案例中心将与全国各大高校就案例开发、案例师资、案例库建设等方面建立合作关系。</w:t>
      </w:r>
    </w:p>
    <w:p w14:paraId="246103EA">
      <w:pPr>
        <w:spacing w:line="300" w:lineRule="atLeast"/>
        <w:ind w:firstLine="560" w:firstLineChars="200"/>
        <w:rPr>
          <w:rFonts w:hint="eastAsia" w:ascii="仿宋" w:hAnsi="仿宋" w:eastAsia="仿宋" w:cs="Times New Roman"/>
          <w:sz w:val="28"/>
          <w:szCs w:val="28"/>
        </w:rPr>
      </w:pPr>
    </w:p>
    <w:p w14:paraId="3D6135A7">
      <w:pPr>
        <w:snapToGrid w:val="0"/>
        <w:spacing w:line="384" w:lineRule="auto"/>
        <w:ind w:firstLine="560" w:firstLineChars="200"/>
        <w:rPr>
          <w:rFonts w:hint="eastAsia" w:ascii="仿宋" w:hAnsi="仿宋" w:eastAsia="仿宋"/>
          <w:sz w:val="28"/>
          <w:szCs w:val="28"/>
        </w:rPr>
      </w:pPr>
      <w:r>
        <w:rPr>
          <w:rFonts w:hint="eastAsia" w:ascii="仿宋" w:hAnsi="仿宋" w:eastAsia="仿宋"/>
          <w:sz w:val="28"/>
          <w:szCs w:val="28"/>
        </w:rPr>
        <w:t>我</w:t>
      </w:r>
      <w:r>
        <w:rPr>
          <w:rFonts w:hint="eastAsia" w:ascii="仿宋" w:hAnsi="仿宋" w:eastAsia="仿宋"/>
          <w:sz w:val="28"/>
          <w:szCs w:val="28"/>
          <w:lang w:val="en-US" w:eastAsia="zh-CN"/>
        </w:rPr>
        <w:t>处</w:t>
      </w:r>
      <w:r>
        <w:rPr>
          <w:rFonts w:hint="eastAsia" w:ascii="仿宋" w:hAnsi="仿宋" w:eastAsia="仿宋"/>
          <w:sz w:val="28"/>
          <w:szCs w:val="28"/>
        </w:rPr>
        <w:t>以单一来源方式采购的理由为：</w:t>
      </w:r>
    </w:p>
    <w:p w14:paraId="3AC9AD1A">
      <w:pPr>
        <w:snapToGrid w:val="0"/>
        <w:spacing w:line="384" w:lineRule="auto"/>
        <w:ind w:firstLine="560" w:firstLineChars="200"/>
        <w:rPr>
          <w:rFonts w:hint="eastAsia" w:ascii="仿宋" w:hAnsi="仿宋" w:eastAsia="仿宋"/>
          <w:sz w:val="28"/>
          <w:szCs w:val="28"/>
        </w:rPr>
      </w:pPr>
      <w:r>
        <w:rPr>
          <w:rFonts w:hint="eastAsia" w:ascii="仿宋" w:hAnsi="仿宋" w:eastAsia="仿宋"/>
          <w:sz w:val="28"/>
          <w:szCs w:val="28"/>
        </w:rPr>
        <w:t>1.该案例库具有唯一性和不可替代性:该案例库参与项目获国家级教学成果二等奖、上海市教学成果特等奖并得到上海市MBA教指委的教学使用推荐。中欧国际工商学院是该系统的唯一开发者，具有中国工商管理国际案例库(The Global Platform of China Cases，简称ChinaCases.Org V2.0)的唯一软件著作权。</w:t>
      </w:r>
    </w:p>
    <w:p w14:paraId="146CD9A4">
      <w:pPr>
        <w:snapToGrid w:val="0"/>
        <w:spacing w:line="384" w:lineRule="auto"/>
        <w:ind w:firstLine="560" w:firstLineChars="200"/>
        <w:rPr>
          <w:rFonts w:hint="eastAsia" w:ascii="仿宋" w:hAnsi="仿宋" w:eastAsia="仿宋"/>
          <w:sz w:val="28"/>
          <w:szCs w:val="28"/>
        </w:rPr>
      </w:pPr>
      <w:r>
        <w:rPr>
          <w:rFonts w:hint="eastAsia" w:ascii="仿宋" w:hAnsi="仿宋" w:eastAsia="仿宋"/>
          <w:sz w:val="28"/>
          <w:szCs w:val="28"/>
        </w:rPr>
        <w:t xml:space="preserve">2.该案例库具有较广的覆盖面和影响力：截至2024年6月30日，ChinaCases.Org 案例库累计收录案例 </w:t>
      </w:r>
      <w:r>
        <w:rPr>
          <w:rFonts w:hint="eastAsia" w:ascii="仿宋" w:hAnsi="仿宋" w:eastAsia="仿宋"/>
          <w:sz w:val="28"/>
          <w:szCs w:val="28"/>
          <w:lang w:val="en-US" w:eastAsia="zh-CN"/>
        </w:rPr>
        <w:t>3</w:t>
      </w:r>
      <w:r>
        <w:rPr>
          <w:rFonts w:hint="eastAsia" w:ascii="仿宋" w:hAnsi="仿宋" w:eastAsia="仿宋"/>
          <w:sz w:val="28"/>
          <w:szCs w:val="28"/>
        </w:rPr>
        <w:t>,</w:t>
      </w:r>
      <w:r>
        <w:rPr>
          <w:rFonts w:hint="eastAsia" w:ascii="仿宋" w:hAnsi="仿宋" w:eastAsia="仿宋"/>
          <w:sz w:val="28"/>
          <w:szCs w:val="28"/>
          <w:lang w:val="en-US" w:eastAsia="zh-CN"/>
        </w:rPr>
        <w:t>000余</w:t>
      </w:r>
      <w:r>
        <w:rPr>
          <w:rFonts w:hint="eastAsia" w:ascii="仿宋" w:hAnsi="仿宋" w:eastAsia="仿宋"/>
          <w:sz w:val="28"/>
          <w:szCs w:val="28"/>
        </w:rPr>
        <w:t>篇，覆盖19类学科、21大行业、5,000多个主题关键词，专业覆盖面广。院校用户达到1</w:t>
      </w:r>
      <w:r>
        <w:rPr>
          <w:rFonts w:hint="eastAsia" w:ascii="仿宋" w:hAnsi="仿宋" w:eastAsia="仿宋"/>
          <w:sz w:val="28"/>
          <w:szCs w:val="28"/>
          <w:lang w:val="en-US" w:eastAsia="zh-CN"/>
        </w:rPr>
        <w:t>5</w:t>
      </w:r>
      <w:r>
        <w:rPr>
          <w:rFonts w:hint="eastAsia" w:ascii="仿宋" w:hAnsi="仿宋" w:eastAsia="仿宋"/>
          <w:sz w:val="28"/>
          <w:szCs w:val="28"/>
        </w:rPr>
        <w:t>0余家，为</w:t>
      </w:r>
      <w:r>
        <w:rPr>
          <w:rFonts w:hint="eastAsia" w:ascii="仿宋" w:hAnsi="仿宋" w:eastAsia="仿宋"/>
          <w:sz w:val="28"/>
          <w:szCs w:val="28"/>
          <w:lang w:val="en-US" w:eastAsia="zh-CN"/>
        </w:rPr>
        <w:t>10</w:t>
      </w:r>
      <w:r>
        <w:rPr>
          <w:rFonts w:hint="eastAsia" w:ascii="仿宋" w:hAnsi="仿宋" w:eastAsia="仿宋"/>
          <w:sz w:val="28"/>
          <w:szCs w:val="28"/>
        </w:rPr>
        <w:t>000余位教师提供案例教学使用服务，累计覆盖学生逾百万人次，市场规模和行业影响力大。</w:t>
      </w:r>
    </w:p>
    <w:p w14:paraId="3CC90EFE">
      <w:pPr>
        <w:snapToGrid w:val="0"/>
        <w:spacing w:line="384" w:lineRule="auto"/>
        <w:ind w:firstLine="560" w:firstLineChars="200"/>
        <w:rPr>
          <w:rFonts w:hint="eastAsia" w:ascii="仿宋" w:hAnsi="仿宋" w:eastAsia="仿宋"/>
          <w:sz w:val="28"/>
          <w:szCs w:val="28"/>
        </w:rPr>
      </w:pPr>
      <w:r>
        <w:rPr>
          <w:rFonts w:hint="eastAsia" w:ascii="仿宋" w:hAnsi="仿宋" w:eastAsia="仿宋"/>
          <w:sz w:val="28"/>
          <w:szCs w:val="28"/>
        </w:rPr>
        <w:t>3</w:t>
      </w:r>
      <w:r>
        <w:rPr>
          <w:rFonts w:hint="eastAsia" w:ascii="仿宋" w:hAnsi="仿宋" w:eastAsia="仿宋"/>
          <w:sz w:val="28"/>
          <w:szCs w:val="28"/>
          <w:lang w:eastAsia="zh-CN"/>
        </w:rPr>
        <w:t>.</w:t>
      </w:r>
      <w:r>
        <w:rPr>
          <w:rFonts w:hint="eastAsia" w:ascii="仿宋" w:hAnsi="仿宋" w:eastAsia="仿宋"/>
          <w:sz w:val="28"/>
          <w:szCs w:val="28"/>
        </w:rPr>
        <w:t>具有较高权威性:案例库的评审专家队伍由60多位具有丰富案例开发和教学经验的商学院教师组成；案例库的学科编辑委员会由1位主编与7大学科领域的编辑组成；国际评委则有5位分别来自亚洲、欧洲与北美洲的知名专家担任。所有收录的案例均经过严格的专家盲审、学科编辑评审、作者修改、文字编辑和专业的排版，达到了专业的线上出版水平，被业界公认为高水平案例库。</w:t>
      </w:r>
    </w:p>
    <w:p w14:paraId="671F4C27">
      <w:pPr>
        <w:snapToGrid w:val="0"/>
        <w:spacing w:line="384" w:lineRule="auto"/>
        <w:ind w:firstLine="560" w:firstLineChars="200"/>
        <w:rPr>
          <w:rFonts w:hint="eastAsia" w:ascii="仿宋" w:hAnsi="仿宋" w:eastAsia="仿宋"/>
          <w:sz w:val="28"/>
          <w:szCs w:val="28"/>
        </w:rPr>
      </w:pPr>
      <w:r>
        <w:rPr>
          <w:rFonts w:hint="eastAsia" w:ascii="仿宋" w:hAnsi="仿宋" w:eastAsia="仿宋"/>
          <w:sz w:val="28"/>
          <w:szCs w:val="28"/>
        </w:rPr>
        <w:t>4</w:t>
      </w:r>
      <w:r>
        <w:rPr>
          <w:rFonts w:hint="eastAsia" w:ascii="仿宋" w:hAnsi="仿宋" w:eastAsia="仿宋"/>
          <w:sz w:val="28"/>
          <w:szCs w:val="28"/>
          <w:lang w:eastAsia="zh-CN"/>
        </w:rPr>
        <w:t>.</w:t>
      </w:r>
      <w:r>
        <w:rPr>
          <w:rFonts w:hint="eastAsia" w:ascii="仿宋" w:hAnsi="仿宋" w:eastAsia="仿宋"/>
          <w:sz w:val="28"/>
          <w:szCs w:val="28"/>
        </w:rPr>
        <w:t>具有较强的活跃度和传播力：中欧案例中心拥有丰富多彩的案例培训与交流活动，“案例大师成长营”公益培训活动，2016年迄今已举办24个班级，来自全球20个国家和地区的330多所院校的1,630多名教师参加成长营。从2024年起，该培训活动在全国MBA教指委指导下，由中欧国际工商学院与中国学位与研究生教育学会联合主办，进一步提升了活动的影响力和传播力。同时，中心每年还承办上海MBA案例教学大赛，获奖的教学视频通过ChinaCases.Org案例库向用户院校教师开放观摩。</w:t>
      </w:r>
    </w:p>
    <w:p w14:paraId="3885EE0D">
      <w:pPr>
        <w:snapToGrid w:val="0"/>
        <w:spacing w:line="384" w:lineRule="auto"/>
        <w:ind w:firstLine="560" w:firstLineChars="200"/>
        <w:rPr>
          <w:rFonts w:hint="default" w:ascii="仿宋" w:hAnsi="仿宋" w:eastAsia="仿宋" w:cs="Times New Roman"/>
          <w:sz w:val="28"/>
          <w:szCs w:val="28"/>
          <w:highlight w:val="none"/>
          <w:lang w:val="en-US" w:eastAsia="zh-CN"/>
        </w:rPr>
      </w:pPr>
      <w:r>
        <w:rPr>
          <w:rFonts w:hint="eastAsia" w:ascii="仿宋" w:hAnsi="仿宋" w:eastAsia="仿宋"/>
          <w:sz w:val="28"/>
          <w:szCs w:val="28"/>
          <w:lang w:val="en-US" w:eastAsia="zh-CN"/>
        </w:rPr>
        <w:t>5.</w:t>
      </w:r>
      <w:bookmarkStart w:id="1" w:name="_GoBack"/>
      <w:bookmarkEnd w:id="1"/>
      <w:r>
        <w:rPr>
          <w:rFonts w:hint="eastAsia" w:ascii="仿宋" w:hAnsi="仿宋" w:eastAsia="仿宋" w:cs="Times New Roman"/>
          <w:sz w:val="28"/>
          <w:szCs w:val="28"/>
          <w:highlight w:val="none"/>
        </w:rPr>
        <w:t>该案例库开发单位中欧国际工商学院授予北京华章图文信息有限公司中国</w:t>
      </w:r>
      <w:r>
        <w:rPr>
          <w:rFonts w:hint="eastAsia" w:ascii="仿宋" w:hAnsi="仿宋" w:eastAsia="仿宋" w:cs="Times New Roman"/>
          <w:sz w:val="28"/>
          <w:szCs w:val="28"/>
          <w:highlight w:val="none"/>
          <w:lang w:val="en-US" w:eastAsia="zh-CN"/>
        </w:rPr>
        <w:t>区域</w:t>
      </w:r>
      <w:r>
        <w:rPr>
          <w:rFonts w:hint="eastAsia" w:ascii="仿宋" w:hAnsi="仿宋" w:eastAsia="仿宋" w:cs="Times New Roman"/>
          <w:b/>
          <w:bCs/>
          <w:sz w:val="28"/>
          <w:szCs w:val="28"/>
          <w:highlight w:val="none"/>
        </w:rPr>
        <w:t>独家代理</w:t>
      </w:r>
      <w:r>
        <w:rPr>
          <w:rFonts w:hint="eastAsia" w:ascii="仿宋" w:hAnsi="仿宋" w:eastAsia="仿宋" w:cs="Times New Roman"/>
          <w:b/>
          <w:bCs/>
          <w:sz w:val="28"/>
          <w:szCs w:val="28"/>
          <w:highlight w:val="none"/>
          <w:lang w:val="en-US" w:eastAsia="zh-CN"/>
        </w:rPr>
        <w:t>机构</w:t>
      </w:r>
      <w:r>
        <w:rPr>
          <w:rFonts w:hint="eastAsia" w:ascii="仿宋" w:hAnsi="仿宋" w:eastAsia="仿宋" w:cs="Times New Roman"/>
          <w:sz w:val="28"/>
          <w:szCs w:val="28"/>
          <w:highlight w:val="none"/>
        </w:rPr>
        <w:t>，</w:t>
      </w:r>
      <w:r>
        <w:rPr>
          <w:rFonts w:hint="eastAsia" w:ascii="仿宋" w:hAnsi="仿宋" w:eastAsia="仿宋" w:cs="Times New Roman"/>
          <w:sz w:val="28"/>
          <w:szCs w:val="28"/>
          <w:highlight w:val="none"/>
          <w:lang w:val="en-US" w:eastAsia="zh-CN"/>
        </w:rPr>
        <w:t>在高校和职业院校进行案例库的推广、销售、合同、收款及服务等事宜。同时授权北京华章图文信息有限公司可以以机械工业出版社传媒体系内单位-一</w:t>
      </w:r>
      <w:r>
        <w:rPr>
          <w:rFonts w:hint="eastAsia" w:ascii="仿宋" w:hAnsi="仿宋" w:eastAsia="仿宋" w:cs="Times New Roman"/>
          <w:b/>
          <w:bCs/>
          <w:sz w:val="28"/>
          <w:szCs w:val="28"/>
          <w:highlight w:val="none"/>
          <w:lang w:val="en-US" w:eastAsia="zh-CN"/>
        </w:rPr>
        <w:t>机械工业出版社百万庄图书大厦(即北京百万庄图书大厦有限公司)</w:t>
      </w:r>
      <w:r>
        <w:rPr>
          <w:rFonts w:hint="eastAsia" w:ascii="仿宋" w:hAnsi="仿宋" w:eastAsia="仿宋" w:cs="Times New Roman"/>
          <w:sz w:val="28"/>
          <w:szCs w:val="28"/>
          <w:highlight w:val="none"/>
          <w:lang w:val="en-US" w:eastAsia="zh-CN"/>
        </w:rPr>
        <w:t>名义进行销售推广。</w:t>
      </w:r>
    </w:p>
    <w:p w14:paraId="6423CC00">
      <w:pPr>
        <w:snapToGrid w:val="0"/>
        <w:spacing w:line="384" w:lineRule="auto"/>
        <w:ind w:firstLine="560" w:firstLineChars="200"/>
        <w:rPr>
          <w:rFonts w:hint="eastAsia" w:ascii="仿宋" w:hAnsi="仿宋" w:eastAsia="仿宋"/>
          <w:sz w:val="28"/>
          <w:szCs w:val="28"/>
        </w:rPr>
      </w:pPr>
      <w:r>
        <w:rPr>
          <w:rFonts w:hint="eastAsia" w:ascii="仿宋" w:hAnsi="仿宋" w:eastAsia="仿宋"/>
          <w:sz w:val="28"/>
          <w:szCs w:val="28"/>
        </w:rPr>
        <w:t>基</w:t>
      </w:r>
      <w:r>
        <w:rPr>
          <w:rFonts w:hint="eastAsia" w:ascii="仿宋" w:hAnsi="仿宋" w:eastAsia="仿宋"/>
          <w:sz w:val="28"/>
          <w:szCs w:val="28"/>
          <w:lang w:val="en-US" w:eastAsia="zh-CN"/>
        </w:rPr>
        <w:t>于</w:t>
      </w:r>
      <w:r>
        <w:rPr>
          <w:rFonts w:hint="eastAsia" w:ascii="仿宋" w:hAnsi="仿宋" w:eastAsia="仿宋"/>
          <w:sz w:val="28"/>
          <w:szCs w:val="28"/>
        </w:rPr>
        <w:t>上述原因，中国工商管理国际案例库在国内市场上具有显著的独特性和优势。案例使用大数据分析、定制化案例使用等配套服务，能最大限度地满足教学改革的使用需求，且针对学院教学科研的需要，具有较强的学术和教学参考价值。在采购渠道上具有唯一性，采购项目内容上具有不可替代性。</w:t>
      </w:r>
    </w:p>
    <w:p w14:paraId="51B78505">
      <w:pPr>
        <w:snapToGrid w:val="0"/>
        <w:spacing w:line="384" w:lineRule="auto"/>
        <w:ind w:firstLine="560" w:firstLineChars="200"/>
        <w:rPr>
          <w:rFonts w:hint="eastAsia" w:ascii="仿宋" w:hAnsi="仿宋" w:eastAsia="仿宋"/>
          <w:sz w:val="28"/>
          <w:szCs w:val="28"/>
        </w:rPr>
      </w:pPr>
    </w:p>
    <w:p w14:paraId="170FCBB3">
      <w:pPr>
        <w:snapToGrid w:val="0"/>
        <w:spacing w:line="384" w:lineRule="auto"/>
        <w:ind w:firstLine="560" w:firstLineChars="200"/>
        <w:rPr>
          <w:rFonts w:hint="eastAsia" w:ascii="仿宋" w:hAnsi="仿宋" w:eastAsia="仿宋"/>
          <w:sz w:val="28"/>
          <w:szCs w:val="28"/>
        </w:rPr>
      </w:pPr>
    </w:p>
    <w:p w14:paraId="1FB83E1C">
      <w:pPr>
        <w:widowControl/>
        <w:jc w:val="left"/>
        <w:rPr>
          <w:rFonts w:ascii="仿宋" w:hAnsi="仿宋" w:eastAsia="仿宋" w:cs="仿宋"/>
          <w:sz w:val="28"/>
          <w:szCs w:val="28"/>
        </w:rPr>
      </w:pPr>
      <w:r>
        <w:rPr>
          <w:rFonts w:ascii="仿宋" w:hAnsi="仿宋" w:eastAsia="仿宋" w:cs="仿宋"/>
          <w:sz w:val="28"/>
          <w:szCs w:val="28"/>
        </w:rPr>
        <w:br w:type="page"/>
      </w:r>
    </w:p>
    <w:p w14:paraId="66309D53">
      <w:pPr>
        <w:tabs>
          <w:tab w:val="left" w:pos="312"/>
        </w:tabs>
        <w:rPr>
          <w:rFonts w:ascii="仿宋" w:hAnsi="仿宋" w:eastAsia="仿宋" w:cs="仿宋"/>
          <w:b/>
          <w:bCs/>
          <w:sz w:val="28"/>
          <w:szCs w:val="28"/>
        </w:rPr>
      </w:pPr>
      <w:bookmarkStart w:id="0" w:name="_Hlk184134635"/>
      <w:r>
        <w:rPr>
          <w:rFonts w:hint="eastAsia" w:ascii="仿宋" w:hAnsi="仿宋" w:eastAsia="仿宋" w:cs="仿宋"/>
          <w:b/>
          <w:bCs/>
          <w:sz w:val="28"/>
          <w:szCs w:val="28"/>
        </w:rPr>
        <w:t>附录：</w:t>
      </w:r>
    </w:p>
    <w:p w14:paraId="56141BDC">
      <w:pPr>
        <w:tabs>
          <w:tab w:val="left" w:pos="312"/>
        </w:tabs>
        <w:rPr>
          <w:rFonts w:ascii="仿宋" w:hAnsi="仿宋" w:eastAsia="仿宋" w:cs="仿宋"/>
          <w:sz w:val="28"/>
          <w:szCs w:val="28"/>
        </w:rPr>
      </w:pPr>
      <w:r>
        <w:rPr>
          <w:rFonts w:hint="eastAsia" w:ascii="仿宋" w:hAnsi="仿宋" w:eastAsia="仿宋" w:cs="仿宋"/>
          <w:sz w:val="28"/>
          <w:szCs w:val="28"/>
        </w:rPr>
        <w:t>为了进一步了解情况，也请参考</w:t>
      </w:r>
      <w:r>
        <w:rPr>
          <w:rFonts w:hint="eastAsia" w:ascii="仿宋" w:hAnsi="仿宋" w:eastAsia="仿宋" w:cs="仿宋"/>
          <w:sz w:val="28"/>
          <w:szCs w:val="28"/>
          <w:lang w:val="en-US" w:eastAsia="zh-CN"/>
        </w:rPr>
        <w:t>6</w:t>
      </w:r>
      <w:r>
        <w:rPr>
          <w:rFonts w:hint="eastAsia" w:ascii="仿宋" w:hAnsi="仿宋" w:eastAsia="仿宋" w:cs="仿宋"/>
          <w:sz w:val="28"/>
          <w:szCs w:val="28"/>
        </w:rPr>
        <w:t>项相关附件：</w:t>
      </w:r>
    </w:p>
    <w:p w14:paraId="6737575D">
      <w:pPr>
        <w:pStyle w:val="7"/>
        <w:numPr>
          <w:ilvl w:val="0"/>
          <w:numId w:val="1"/>
        </w:numPr>
        <w:tabs>
          <w:tab w:val="left" w:pos="312"/>
        </w:tabs>
        <w:ind w:firstLineChars="0"/>
        <w:rPr>
          <w:rFonts w:ascii="仿宋" w:hAnsi="仿宋" w:eastAsia="仿宋" w:cs="仿宋"/>
          <w:sz w:val="28"/>
          <w:szCs w:val="28"/>
        </w:rPr>
      </w:pPr>
      <w:r>
        <w:rPr>
          <w:rFonts w:hint="eastAsia" w:ascii="仿宋" w:hAnsi="仿宋" w:eastAsia="仿宋" w:cs="仿宋"/>
          <w:sz w:val="28"/>
          <w:szCs w:val="28"/>
        </w:rPr>
        <w:t>中国学位与研究生教育学会工商管理专业学位工作委员会和中欧国际工商学院案例中心签署合作备忘录新闻</w:t>
      </w:r>
    </w:p>
    <w:p w14:paraId="6EDAB499">
      <w:pPr>
        <w:pStyle w:val="7"/>
        <w:numPr>
          <w:ilvl w:val="0"/>
          <w:numId w:val="1"/>
        </w:numPr>
        <w:tabs>
          <w:tab w:val="left" w:pos="312"/>
        </w:tabs>
        <w:ind w:firstLineChars="0"/>
        <w:rPr>
          <w:rFonts w:ascii="仿宋" w:hAnsi="仿宋" w:eastAsia="仿宋" w:cs="仿宋"/>
          <w:sz w:val="28"/>
          <w:szCs w:val="28"/>
        </w:rPr>
      </w:pPr>
      <w:r>
        <w:rPr>
          <w:rFonts w:hint="eastAsia" w:ascii="仿宋" w:hAnsi="仿宋" w:eastAsia="仿宋" w:cs="仿宋"/>
          <w:sz w:val="28"/>
          <w:szCs w:val="28"/>
        </w:rPr>
        <w:t>上海市MBA教指委《推荐上海MBA培养单位使用“中国工商管理国际案例库”的函件》</w:t>
      </w:r>
    </w:p>
    <w:p w14:paraId="679BE707">
      <w:pPr>
        <w:pStyle w:val="7"/>
        <w:numPr>
          <w:ilvl w:val="0"/>
          <w:numId w:val="1"/>
        </w:numPr>
        <w:tabs>
          <w:tab w:val="left" w:pos="312"/>
        </w:tabs>
        <w:ind w:firstLineChars="0"/>
        <w:rPr>
          <w:rFonts w:ascii="仿宋" w:hAnsi="仿宋" w:eastAsia="仿宋" w:cs="仿宋"/>
          <w:sz w:val="28"/>
          <w:szCs w:val="28"/>
        </w:rPr>
      </w:pPr>
      <w:r>
        <w:rPr>
          <w:rFonts w:hint="eastAsia" w:ascii="仿宋" w:hAnsi="仿宋" w:eastAsia="仿宋" w:cs="仿宋"/>
          <w:sz w:val="28"/>
          <w:szCs w:val="28"/>
        </w:rPr>
        <w:t>案例库参与项目获国家级教学成果二等奖、上海市教学成果特等奖</w:t>
      </w:r>
    </w:p>
    <w:p w14:paraId="17226B61">
      <w:pPr>
        <w:pStyle w:val="7"/>
        <w:numPr>
          <w:ilvl w:val="0"/>
          <w:numId w:val="1"/>
        </w:numPr>
        <w:tabs>
          <w:tab w:val="left" w:pos="312"/>
        </w:tabs>
        <w:ind w:firstLineChars="0"/>
        <w:rPr>
          <w:rFonts w:ascii="仿宋" w:hAnsi="仿宋" w:eastAsia="仿宋" w:cs="仿宋"/>
          <w:sz w:val="28"/>
          <w:szCs w:val="28"/>
        </w:rPr>
      </w:pPr>
      <w:r>
        <w:rPr>
          <w:rFonts w:hint="eastAsia" w:ascii="仿宋" w:hAnsi="仿宋" w:eastAsia="仿宋" w:cs="仿宋"/>
          <w:sz w:val="28"/>
          <w:szCs w:val="28"/>
        </w:rPr>
        <w:t>案例库《计算机软件著作权登记证书》</w:t>
      </w:r>
    </w:p>
    <w:p w14:paraId="364EECBA">
      <w:pPr>
        <w:pStyle w:val="7"/>
        <w:widowControl/>
        <w:numPr>
          <w:ilvl w:val="0"/>
          <w:numId w:val="1"/>
        </w:numPr>
        <w:tabs>
          <w:tab w:val="left" w:pos="312"/>
        </w:tabs>
        <w:ind w:firstLineChars="0"/>
        <w:jc w:val="left"/>
        <w:rPr>
          <w:rFonts w:ascii="仿宋" w:hAnsi="仿宋" w:eastAsia="仿宋" w:cs="仿宋"/>
          <w:sz w:val="28"/>
          <w:szCs w:val="28"/>
        </w:rPr>
      </w:pPr>
      <w:r>
        <w:rPr>
          <w:rFonts w:hint="eastAsia" w:ascii="仿宋" w:hAnsi="仿宋" w:eastAsia="仿宋" w:cs="仿宋"/>
          <w:sz w:val="28"/>
          <w:szCs w:val="28"/>
        </w:rPr>
        <w:t>案例库用户分布（截至202</w:t>
      </w:r>
      <w:r>
        <w:rPr>
          <w:rFonts w:hint="eastAsia" w:ascii="仿宋" w:hAnsi="仿宋" w:eastAsia="仿宋" w:cs="仿宋"/>
          <w:sz w:val="28"/>
          <w:szCs w:val="28"/>
          <w:lang w:val="en-US" w:eastAsia="zh-CN"/>
        </w:rPr>
        <w:t>5</w:t>
      </w:r>
      <w:r>
        <w:rPr>
          <w:rFonts w:hint="eastAsia" w:ascii="仿宋" w:hAnsi="仿宋" w:eastAsia="仿宋" w:cs="仿宋"/>
          <w:sz w:val="28"/>
          <w:szCs w:val="28"/>
        </w:rPr>
        <w:t>年</w:t>
      </w:r>
      <w:r>
        <w:rPr>
          <w:rFonts w:hint="eastAsia" w:ascii="仿宋" w:hAnsi="仿宋" w:eastAsia="仿宋" w:cs="仿宋"/>
          <w:sz w:val="28"/>
          <w:szCs w:val="28"/>
          <w:lang w:val="en-US" w:eastAsia="zh-CN"/>
        </w:rPr>
        <w:t>7</w:t>
      </w:r>
      <w:r>
        <w:rPr>
          <w:rFonts w:hint="eastAsia" w:ascii="仿宋" w:hAnsi="仿宋" w:eastAsia="仿宋" w:cs="仿宋"/>
          <w:sz w:val="28"/>
          <w:szCs w:val="28"/>
        </w:rPr>
        <w:t>月）</w:t>
      </w:r>
    </w:p>
    <w:p w14:paraId="1F567C37">
      <w:pPr>
        <w:pStyle w:val="7"/>
        <w:widowControl/>
        <w:numPr>
          <w:ilvl w:val="0"/>
          <w:numId w:val="0"/>
        </w:numPr>
        <w:tabs>
          <w:tab w:val="left" w:pos="312"/>
        </w:tabs>
        <w:ind w:leftChars="0"/>
        <w:jc w:val="left"/>
        <w:rPr>
          <w:rFonts w:ascii="仿宋" w:hAnsi="仿宋" w:eastAsia="仿宋" w:cs="仿宋"/>
          <w:sz w:val="28"/>
          <w:szCs w:val="28"/>
        </w:rPr>
      </w:pPr>
      <w:r>
        <w:rPr>
          <w:rFonts w:hint="eastAsia" w:ascii="仿宋" w:hAnsi="仿宋" w:eastAsia="仿宋" w:cs="仿宋"/>
          <w:sz w:val="28"/>
          <w:szCs w:val="28"/>
          <w:lang w:val="en-US" w:eastAsia="zh-CN"/>
        </w:rPr>
        <w:t xml:space="preserve">6.中国工商管理国际案例库代理销售授权书 </w:t>
      </w:r>
      <w:r>
        <w:rPr>
          <w:rFonts w:ascii="仿宋" w:hAnsi="仿宋" w:eastAsia="仿宋" w:cs="仿宋"/>
          <w:sz w:val="28"/>
          <w:szCs w:val="28"/>
        </w:rPr>
        <w:br w:type="page"/>
      </w:r>
    </w:p>
    <w:p w14:paraId="3F29A5DC">
      <w:pPr>
        <w:widowControl/>
        <w:spacing w:before="120" w:after="120" w:line="259" w:lineRule="auto"/>
        <w:rPr>
          <w:rFonts w:ascii="宋体" w:hAnsi="宋体" w:cs="Calibri"/>
          <w:color w:val="000000"/>
          <w:sz w:val="28"/>
        </w:rPr>
      </w:pPr>
      <w:r>
        <w:rPr>
          <w:rFonts w:hint="eastAsia" w:ascii="宋体" w:hAnsi="宋体" w:cs="Calibri"/>
          <w:b/>
          <w:bCs/>
          <w:color w:val="000000"/>
          <w:sz w:val="24"/>
        </w:rPr>
        <w:t>附件1：</w:t>
      </w:r>
      <w:r>
        <w:rPr>
          <w:rFonts w:hint="eastAsia" w:ascii="宋体" w:hAnsi="宋体" w:cs="Calibri"/>
          <w:b/>
          <w:bCs/>
          <w:color w:val="000000"/>
          <w:sz w:val="28"/>
        </w:rPr>
        <w:t>学位与研究生教育学会合作新闻</w:t>
      </w:r>
      <w:r>
        <w:rPr>
          <w:rFonts w:hint="eastAsia" w:ascii="宋体" w:hAnsi="宋体" w:cs="Calibri"/>
          <w:color w:val="000000"/>
          <w:sz w:val="28"/>
        </w:rPr>
        <w:t>（中欧内网）</w:t>
      </w:r>
    </w:p>
    <w:p w14:paraId="64E4CD45">
      <w:pPr>
        <w:pStyle w:val="3"/>
        <w:pBdr>
          <w:top w:val="single" w:color="BEBEBE" w:themeColor="background1" w:themeShade="BF" w:sz="4" w:space="1"/>
          <w:left w:val="single" w:color="BEBEBE" w:themeColor="background1" w:themeShade="BF" w:sz="4" w:space="4"/>
          <w:bottom w:val="single" w:color="BEBEBE" w:themeColor="background1" w:themeShade="BF" w:sz="4" w:space="1"/>
          <w:right w:val="single" w:color="BEBEBE" w:themeColor="background1" w:themeShade="BF" w:sz="4" w:space="4"/>
        </w:pBdr>
        <w:shd w:val="clear" w:color="auto" w:fill="FFFFFF"/>
        <w:spacing w:before="120"/>
        <w:jc w:val="center"/>
        <w:rPr>
          <w:rFonts w:ascii="Segoe UI" w:hAnsi="Segoe UI" w:cs="Segoe UI"/>
          <w:b/>
          <w:bCs/>
          <w:color w:val="C00000"/>
          <w:sz w:val="28"/>
          <w:szCs w:val="28"/>
        </w:rPr>
      </w:pPr>
      <w:r>
        <w:rPr>
          <w:rFonts w:hint="eastAsia" w:ascii="Segoe UI" w:hAnsi="Segoe UI" w:cs="Segoe UI"/>
          <w:b/>
          <w:bCs/>
          <w:color w:val="C00000"/>
          <w:sz w:val="28"/>
          <w:szCs w:val="28"/>
        </w:rPr>
        <w:t>汇聚多方优势资源，助推管理教育发展</w:t>
      </w:r>
    </w:p>
    <w:p w14:paraId="38A3B333">
      <w:pPr>
        <w:pStyle w:val="3"/>
        <w:pBdr>
          <w:top w:val="single" w:color="BEBEBE" w:themeColor="background1" w:themeShade="BF" w:sz="4" w:space="1"/>
          <w:left w:val="single" w:color="BEBEBE" w:themeColor="background1" w:themeShade="BF" w:sz="4" w:space="4"/>
          <w:bottom w:val="single" w:color="BEBEBE" w:themeColor="background1" w:themeShade="BF" w:sz="4" w:space="1"/>
          <w:right w:val="single" w:color="BEBEBE" w:themeColor="background1" w:themeShade="BF" w:sz="4" w:space="4"/>
        </w:pBdr>
        <w:shd w:val="clear" w:color="auto" w:fill="FFFFFF"/>
        <w:spacing w:before="120"/>
        <w:jc w:val="center"/>
        <w:rPr>
          <w:rFonts w:ascii="Segoe UI" w:hAnsi="Segoe UI" w:cs="Segoe UI"/>
          <w:b/>
          <w:bCs/>
          <w:color w:val="C00000"/>
          <w:sz w:val="22"/>
          <w:szCs w:val="22"/>
        </w:rPr>
      </w:pPr>
      <w:r>
        <w:rPr>
          <w:rFonts w:hint="eastAsia" w:ascii="Segoe UI" w:hAnsi="Segoe UI" w:cs="Segoe UI"/>
          <w:b/>
          <w:bCs/>
          <w:color w:val="C00000"/>
          <w:sz w:val="22"/>
          <w:szCs w:val="22"/>
        </w:rPr>
        <w:t>——</w:t>
      </w:r>
      <w:r>
        <w:rPr>
          <w:rFonts w:ascii="Segoe UI" w:hAnsi="Segoe UI" w:cs="Segoe UI"/>
          <w:b/>
          <w:bCs/>
          <w:color w:val="C00000"/>
          <w:sz w:val="22"/>
          <w:szCs w:val="22"/>
        </w:rPr>
        <w:t>中国学位与研究生教育学会工商管理专业学位工作委员会</w:t>
      </w:r>
      <w:r>
        <w:rPr>
          <w:rFonts w:hint="eastAsia" w:ascii="Segoe UI" w:hAnsi="Segoe UI" w:cs="Segoe UI"/>
          <w:b/>
          <w:bCs/>
          <w:color w:val="C00000"/>
          <w:sz w:val="22"/>
          <w:szCs w:val="22"/>
        </w:rPr>
        <w:t>到访中欧</w:t>
      </w:r>
    </w:p>
    <w:p w14:paraId="7B1E6AEA">
      <w:pPr>
        <w:pStyle w:val="3"/>
        <w:pBdr>
          <w:top w:val="single" w:color="BEBEBE" w:themeColor="background1" w:themeShade="BF" w:sz="4" w:space="1"/>
          <w:left w:val="single" w:color="BEBEBE" w:themeColor="background1" w:themeShade="BF" w:sz="4" w:space="4"/>
          <w:bottom w:val="single" w:color="BEBEBE" w:themeColor="background1" w:themeShade="BF" w:sz="4" w:space="1"/>
          <w:right w:val="single" w:color="BEBEBE" w:themeColor="background1" w:themeShade="BF" w:sz="4" w:space="4"/>
        </w:pBdr>
        <w:shd w:val="clear" w:color="auto" w:fill="FFFFFF"/>
        <w:spacing w:before="120"/>
        <w:jc w:val="center"/>
        <w:rPr>
          <w:rFonts w:ascii="Segoe UI" w:hAnsi="Segoe UI" w:cs="Segoe UI"/>
          <w:b/>
          <w:bCs/>
          <w:color w:val="C00000"/>
          <w:sz w:val="22"/>
          <w:szCs w:val="22"/>
        </w:rPr>
      </w:pPr>
    </w:p>
    <w:p w14:paraId="58F88679">
      <w:pPr>
        <w:pStyle w:val="3"/>
        <w:pBdr>
          <w:top w:val="single" w:color="BEBEBE" w:themeColor="background1" w:themeShade="BF" w:sz="4" w:space="1"/>
          <w:left w:val="single" w:color="BEBEBE" w:themeColor="background1" w:themeShade="BF" w:sz="4" w:space="4"/>
          <w:bottom w:val="single" w:color="BEBEBE" w:themeColor="background1" w:themeShade="BF" w:sz="4" w:space="1"/>
          <w:right w:val="single" w:color="BEBEBE" w:themeColor="background1" w:themeShade="BF" w:sz="4" w:space="4"/>
        </w:pBdr>
        <w:shd w:val="clear" w:color="auto" w:fill="FFFFFF"/>
        <w:spacing w:before="120"/>
        <w:ind w:firstLine="440" w:firstLineChars="200"/>
        <w:jc w:val="center"/>
        <w:rPr>
          <w:rFonts w:ascii="Times New Roman" w:hAnsi="Times New Roman" w:eastAsia="仿宋" w:cs="Segoe UI"/>
          <w:color w:val="1F2328"/>
        </w:rPr>
      </w:pPr>
      <w:r>
        <w:rPr>
          <w:sz w:val="22"/>
        </w:rPr>
        <w:drawing>
          <wp:inline distT="0" distB="0" distL="0" distR="0">
            <wp:extent cx="4343400" cy="2677160"/>
            <wp:effectExtent l="0" t="0" r="0" b="8890"/>
            <wp:docPr id="1767126082" name="图片 1" descr="一群人站在桌子边&#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26082" name="图片 1" descr="一群人站在桌子边&#10;&#10;描述已自动生成"/>
                    <pic:cNvPicPr>
                      <a:picLocks noChangeAspect="1" noChangeArrowheads="1"/>
                    </pic:cNvPicPr>
                  </pic:nvPicPr>
                  <pic:blipFill>
                    <a:blip r:embed="rId4" cstate="print">
                      <a:extLst>
                        <a:ext uri="{28A0092B-C50C-407E-A947-70E740481C1C}">
                          <a14:useLocalDpi xmlns:a14="http://schemas.microsoft.com/office/drawing/2010/main" val="0"/>
                        </a:ext>
                      </a:extLst>
                    </a:blip>
                    <a:srcRect t="5776" b="7159"/>
                    <a:stretch>
                      <a:fillRect/>
                    </a:stretch>
                  </pic:blipFill>
                  <pic:spPr>
                    <a:xfrm>
                      <a:off x="0" y="0"/>
                      <a:ext cx="4343400" cy="2677160"/>
                    </a:xfrm>
                    <a:prstGeom prst="rect">
                      <a:avLst/>
                    </a:prstGeom>
                    <a:noFill/>
                    <a:ln>
                      <a:noFill/>
                    </a:ln>
                  </pic:spPr>
                </pic:pic>
              </a:graphicData>
            </a:graphic>
          </wp:inline>
        </w:drawing>
      </w:r>
    </w:p>
    <w:p w14:paraId="514BA659">
      <w:pPr>
        <w:pStyle w:val="3"/>
        <w:pBdr>
          <w:top w:val="single" w:color="BEBEBE" w:themeColor="background1" w:themeShade="BF" w:sz="4" w:space="1"/>
          <w:left w:val="single" w:color="BEBEBE" w:themeColor="background1" w:themeShade="BF" w:sz="4" w:space="4"/>
          <w:bottom w:val="single" w:color="BEBEBE" w:themeColor="background1" w:themeShade="BF" w:sz="4" w:space="1"/>
          <w:right w:val="single" w:color="BEBEBE" w:themeColor="background1" w:themeShade="BF" w:sz="4" w:space="4"/>
        </w:pBdr>
        <w:shd w:val="clear" w:color="auto" w:fill="FFFFFF"/>
        <w:spacing w:before="120"/>
        <w:ind w:firstLine="480" w:firstLineChars="200"/>
      </w:pPr>
      <w:r>
        <w:rPr>
          <w:rFonts w:ascii="Times New Roman" w:hAnsi="Times New Roman" w:eastAsia="仿宋" w:cs="Segoe UI"/>
          <w:color w:val="1F2328"/>
        </w:rPr>
        <w:t>3月12日，中国学位与研究生教育学会工商管理专业学位工作委员会秘书长</w:t>
      </w:r>
      <w:r>
        <w:rPr>
          <w:rFonts w:hint="eastAsia" w:ascii="Times New Roman" w:hAnsi="Times New Roman" w:eastAsia="仿宋" w:cs="Segoe UI"/>
          <w:color w:val="1F2328"/>
        </w:rPr>
        <w:t>、全国工商管理专业学位研究生教育指导委员会秘书处办公室主任</w:t>
      </w:r>
      <w:r>
        <w:rPr>
          <w:rFonts w:ascii="Times New Roman" w:hAnsi="Times New Roman" w:eastAsia="仿宋" w:cs="Segoe UI"/>
          <w:color w:val="1F2328"/>
        </w:rPr>
        <w:t>王萍一行访问中欧国际工商学院，就</w:t>
      </w:r>
      <w:r>
        <w:rPr>
          <w:rFonts w:hint="eastAsia" w:ascii="Times New Roman" w:hAnsi="Times New Roman" w:eastAsia="仿宋" w:cs="Segoe UI"/>
          <w:color w:val="1F2328"/>
        </w:rPr>
        <w:t>共同推动管理案例建设和发展，服务商科教育创新变革</w:t>
      </w:r>
      <w:r>
        <w:rPr>
          <w:rFonts w:ascii="Times New Roman" w:hAnsi="Times New Roman" w:eastAsia="仿宋" w:cs="Segoe UI"/>
          <w:color w:val="1F2328"/>
        </w:rPr>
        <w:t>进行</w:t>
      </w:r>
      <w:r>
        <w:rPr>
          <w:rFonts w:hint="eastAsia" w:ascii="Times New Roman" w:hAnsi="Times New Roman" w:eastAsia="仿宋" w:cs="Segoe UI"/>
          <w:color w:val="1F2328"/>
        </w:rPr>
        <w:t>研讨</w:t>
      </w:r>
      <w:r>
        <w:rPr>
          <w:rFonts w:ascii="Times New Roman" w:hAnsi="Times New Roman" w:eastAsia="仿宋" w:cs="Segoe UI"/>
          <w:color w:val="1F2328"/>
        </w:rPr>
        <w:t>。在参观校园后，双方展开座谈，</w:t>
      </w:r>
      <w:r>
        <w:rPr>
          <w:rFonts w:hint="eastAsia" w:ascii="Times New Roman" w:hAnsi="Times New Roman" w:eastAsia="仿宋"/>
        </w:rPr>
        <w:t>就案例建设合作进行深入交流，并商议合作备忘录相关内容</w:t>
      </w:r>
      <w:r>
        <w:rPr>
          <w:rFonts w:ascii="Times New Roman" w:hAnsi="Times New Roman" w:eastAsia="仿宋" w:cs="Segoe UI"/>
          <w:color w:val="1F2328"/>
        </w:rPr>
        <w:t>。</w:t>
      </w:r>
      <w:r>
        <w:rPr>
          <w:rFonts w:hint="eastAsia" w:ascii="Times New Roman" w:hAnsi="Times New Roman" w:eastAsia="仿宋"/>
        </w:rPr>
        <w:t>中欧副教务长兼案例中心主任陈世敏教授主持接待，汪泓院长出席座谈并作重要总结。</w:t>
      </w:r>
    </w:p>
    <w:p w14:paraId="5E398EBB">
      <w:pPr>
        <w:pStyle w:val="3"/>
        <w:pBdr>
          <w:top w:val="single" w:color="BEBEBE" w:themeColor="background1" w:themeShade="BF" w:sz="4" w:space="1"/>
          <w:left w:val="single" w:color="BEBEBE" w:themeColor="background1" w:themeShade="BF" w:sz="4" w:space="4"/>
          <w:bottom w:val="single" w:color="BEBEBE" w:themeColor="background1" w:themeShade="BF" w:sz="4" w:space="1"/>
          <w:right w:val="single" w:color="BEBEBE" w:themeColor="background1" w:themeShade="BF" w:sz="4" w:space="4"/>
        </w:pBdr>
        <w:shd w:val="clear" w:color="auto" w:fill="FFFFFF"/>
        <w:spacing w:before="120"/>
        <w:ind w:firstLine="480" w:firstLineChars="200"/>
        <w:rPr>
          <w:rFonts w:ascii="Times New Roman" w:hAnsi="Times New Roman" w:eastAsia="仿宋" w:cs="Segoe UI"/>
          <w:color w:val="1F2328"/>
        </w:rPr>
      </w:pPr>
      <w:r>
        <w:rPr>
          <w:rFonts w:ascii="Times New Roman" w:hAnsi="Times New Roman" w:eastAsia="仿宋" w:cs="Segoe UI"/>
          <w:color w:val="1F2328"/>
        </w:rPr>
        <w:t>王萍</w:t>
      </w:r>
      <w:r>
        <w:rPr>
          <w:rFonts w:hint="eastAsia" w:ascii="Times New Roman" w:hAnsi="Times New Roman" w:eastAsia="仿宋" w:cs="Segoe UI"/>
          <w:color w:val="1F2328"/>
        </w:rPr>
        <w:t>高度评价了中欧国际工商学院在过去30年间的辉煌成就，尤其是</w:t>
      </w:r>
      <w:r>
        <w:rPr>
          <w:rFonts w:ascii="Times New Roman" w:hAnsi="Times New Roman" w:eastAsia="仿宋" w:cs="Segoe UI"/>
          <w:color w:val="1F2328"/>
        </w:rPr>
        <w:t>在案例建设方面</w:t>
      </w:r>
      <w:r>
        <w:rPr>
          <w:rFonts w:hint="eastAsia" w:ascii="Times New Roman" w:hAnsi="Times New Roman" w:eastAsia="仿宋" w:cs="Segoe UI"/>
          <w:color w:val="1F2328"/>
        </w:rPr>
        <w:t>的</w:t>
      </w:r>
      <w:r>
        <w:rPr>
          <w:rFonts w:ascii="Times New Roman" w:hAnsi="Times New Roman" w:eastAsia="仿宋" w:cs="Segoe UI"/>
          <w:color w:val="1F2328"/>
        </w:rPr>
        <w:t>卓越表现，期望通过</w:t>
      </w:r>
      <w:r>
        <w:rPr>
          <w:rFonts w:hint="eastAsia" w:ascii="Times New Roman" w:hAnsi="Times New Roman" w:eastAsia="仿宋" w:cs="Segoe UI"/>
          <w:color w:val="1F2328"/>
        </w:rPr>
        <w:t>中国学位与研究生教育学会工商管理专业学位工作委员会、全国M</w:t>
      </w:r>
      <w:r>
        <w:rPr>
          <w:rFonts w:ascii="Times New Roman" w:hAnsi="Times New Roman" w:eastAsia="仿宋" w:cs="Segoe UI"/>
          <w:color w:val="1F2328"/>
        </w:rPr>
        <w:t>BA</w:t>
      </w:r>
      <w:r>
        <w:rPr>
          <w:rFonts w:hint="eastAsia" w:ascii="Times New Roman" w:hAnsi="Times New Roman" w:eastAsia="仿宋" w:cs="Segoe UI"/>
          <w:color w:val="1F2328"/>
        </w:rPr>
        <w:t>教指委秘书处同</w:t>
      </w:r>
      <w:r>
        <w:rPr>
          <w:rFonts w:ascii="Times New Roman" w:hAnsi="Times New Roman" w:eastAsia="仿宋" w:cs="Segoe UI"/>
          <w:color w:val="1F2328"/>
        </w:rPr>
        <w:t>中欧</w:t>
      </w:r>
      <w:r>
        <w:rPr>
          <w:rFonts w:hint="eastAsia" w:ascii="Times New Roman" w:hAnsi="Times New Roman" w:eastAsia="仿宋" w:cs="Segoe UI"/>
          <w:color w:val="1F2328"/>
        </w:rPr>
        <w:t>一道助力中国管理案例事业发展，提升M</w:t>
      </w:r>
      <w:r>
        <w:rPr>
          <w:rFonts w:ascii="Times New Roman" w:hAnsi="Times New Roman" w:eastAsia="仿宋" w:cs="Segoe UI"/>
          <w:color w:val="1F2328"/>
        </w:rPr>
        <w:t>BA</w:t>
      </w:r>
      <w:r>
        <w:rPr>
          <w:rFonts w:hint="eastAsia" w:ascii="Times New Roman" w:hAnsi="Times New Roman" w:eastAsia="仿宋" w:cs="Segoe UI"/>
          <w:color w:val="1F2328"/>
        </w:rPr>
        <w:t>教育质量，服务于新时代高层次管理创新人才培养</w:t>
      </w:r>
      <w:r>
        <w:rPr>
          <w:rFonts w:ascii="Times New Roman" w:hAnsi="Times New Roman" w:eastAsia="仿宋" w:cs="Segoe UI"/>
          <w:color w:val="1F2328"/>
        </w:rPr>
        <w:t>。座谈会上，双方就</w:t>
      </w:r>
      <w:r>
        <w:rPr>
          <w:rFonts w:hint="eastAsia" w:ascii="Times New Roman" w:hAnsi="Times New Roman" w:eastAsia="仿宋" w:cs="Segoe UI"/>
          <w:color w:val="1F2328"/>
        </w:rPr>
        <w:t>“</w:t>
      </w:r>
      <w:r>
        <w:rPr>
          <w:rFonts w:ascii="Times New Roman" w:hAnsi="Times New Roman" w:eastAsia="仿宋" w:cs="Segoe UI"/>
          <w:color w:val="1F2328"/>
        </w:rPr>
        <w:t>案例大师成长营</w:t>
      </w:r>
      <w:r>
        <w:rPr>
          <w:rFonts w:hint="eastAsia" w:ascii="Times New Roman" w:hAnsi="Times New Roman" w:eastAsia="仿宋" w:cs="Segoe UI"/>
          <w:color w:val="1F2328"/>
        </w:rPr>
        <w:t>”系列公益活动、专题</w:t>
      </w:r>
      <w:r>
        <w:rPr>
          <w:rFonts w:ascii="Times New Roman" w:hAnsi="Times New Roman" w:eastAsia="仿宋" w:cs="Segoe UI"/>
          <w:color w:val="1F2328"/>
        </w:rPr>
        <w:t>论坛</w:t>
      </w:r>
      <w:r>
        <w:rPr>
          <w:rFonts w:hint="eastAsia" w:ascii="Times New Roman" w:hAnsi="Times New Roman" w:eastAsia="仿宋" w:cs="Segoe UI"/>
          <w:color w:val="1F2328"/>
        </w:rPr>
        <w:t>、案例赛事等</w:t>
      </w:r>
      <w:r>
        <w:rPr>
          <w:rFonts w:ascii="Times New Roman" w:hAnsi="Times New Roman" w:eastAsia="仿宋" w:cs="Segoe UI"/>
          <w:color w:val="1F2328"/>
        </w:rPr>
        <w:t>合作</w:t>
      </w:r>
      <w:r>
        <w:rPr>
          <w:rFonts w:hint="eastAsia" w:ascii="Times New Roman" w:hAnsi="Times New Roman" w:eastAsia="仿宋" w:cs="Segoe UI"/>
          <w:color w:val="1F2328"/>
        </w:rPr>
        <w:t>事项</w:t>
      </w:r>
      <w:r>
        <w:rPr>
          <w:rFonts w:ascii="Times New Roman" w:hAnsi="Times New Roman" w:eastAsia="仿宋" w:cs="Segoe UI"/>
          <w:color w:val="1F2328"/>
        </w:rPr>
        <w:t>进行了深度讨论</w:t>
      </w:r>
      <w:r>
        <w:rPr>
          <w:rFonts w:hint="eastAsia" w:ascii="Times New Roman" w:hAnsi="Times New Roman" w:eastAsia="仿宋" w:cs="Segoe UI"/>
          <w:color w:val="1F2328"/>
        </w:rPr>
        <w:t>并达成充分共识。</w:t>
      </w:r>
      <w:r>
        <w:rPr>
          <w:rFonts w:ascii="Times New Roman" w:hAnsi="Times New Roman" w:eastAsia="仿宋" w:cs="Segoe UI"/>
          <w:color w:val="1F2328"/>
        </w:rPr>
        <w:t xml:space="preserve"> </w:t>
      </w:r>
    </w:p>
    <w:p w14:paraId="61257313">
      <w:pPr>
        <w:pStyle w:val="3"/>
        <w:pBdr>
          <w:top w:val="single" w:color="BEBEBE" w:themeColor="background1" w:themeShade="BF" w:sz="4" w:space="1"/>
          <w:left w:val="single" w:color="BEBEBE" w:themeColor="background1" w:themeShade="BF" w:sz="4" w:space="4"/>
          <w:bottom w:val="single" w:color="BEBEBE" w:themeColor="background1" w:themeShade="BF" w:sz="4" w:space="1"/>
          <w:right w:val="single" w:color="BEBEBE" w:themeColor="background1" w:themeShade="BF" w:sz="4" w:space="4"/>
        </w:pBdr>
        <w:shd w:val="clear" w:color="auto" w:fill="FFFFFF"/>
        <w:spacing w:before="120"/>
        <w:ind w:firstLine="480" w:firstLineChars="200"/>
        <w:rPr>
          <w:rFonts w:cs="Calibri"/>
          <w:b/>
          <w:bCs/>
          <w:color w:val="C00000"/>
        </w:rPr>
      </w:pPr>
      <w:r>
        <w:rPr>
          <w:rFonts w:ascii="Times New Roman" w:hAnsi="Times New Roman" w:eastAsia="仿宋" w:cs="Segoe UI"/>
          <w:color w:val="1F2328"/>
        </w:rPr>
        <w:t>最后，汪泓院长</w:t>
      </w:r>
      <w:r>
        <w:rPr>
          <w:rFonts w:hint="eastAsia" w:ascii="Times New Roman" w:hAnsi="Times New Roman" w:eastAsia="仿宋" w:cs="Segoe UI"/>
          <w:color w:val="1F2328"/>
        </w:rPr>
        <w:t>总结道</w:t>
      </w:r>
      <w:r>
        <w:rPr>
          <w:rFonts w:ascii="Times New Roman" w:hAnsi="Times New Roman" w:eastAsia="仿宋" w:cs="Segoe UI"/>
          <w:color w:val="1F2328"/>
        </w:rPr>
        <w:t>，中欧</w:t>
      </w:r>
      <w:r>
        <w:rPr>
          <w:rFonts w:hint="eastAsia" w:ascii="Times New Roman" w:hAnsi="Times New Roman" w:eastAsia="仿宋" w:cs="Segoe UI"/>
          <w:color w:val="1F2328"/>
        </w:rPr>
        <w:t>坚持</w:t>
      </w:r>
      <w:r>
        <w:rPr>
          <w:rFonts w:ascii="Times New Roman" w:hAnsi="Times New Roman" w:eastAsia="仿宋" w:cs="Segoe UI"/>
          <w:color w:val="1F2328"/>
        </w:rPr>
        <w:t>高质量教学，以</w:t>
      </w:r>
      <w:r>
        <w:rPr>
          <w:rFonts w:hint="eastAsia" w:ascii="Times New Roman" w:hAnsi="Times New Roman" w:eastAsia="仿宋" w:cs="Segoe UI"/>
          <w:color w:val="1F2328"/>
        </w:rPr>
        <w:t>教授们</w:t>
      </w:r>
      <w:r>
        <w:rPr>
          <w:rFonts w:ascii="Times New Roman" w:hAnsi="Times New Roman" w:eastAsia="仿宋" w:cs="Segoe UI"/>
          <w:color w:val="1F2328"/>
        </w:rPr>
        <w:t>深厚的学术素养、有效的案例教学和实境教学模式构成其教学体系三大支柱。中欧案例中心不仅</w:t>
      </w:r>
      <w:r>
        <w:rPr>
          <w:rFonts w:hint="eastAsia" w:ascii="Times New Roman" w:hAnsi="Times New Roman" w:eastAsia="仿宋" w:cs="Segoe UI"/>
          <w:color w:val="000000" w:themeColor="text1"/>
          <w14:textFill>
            <w14:solidFill>
              <w14:schemeClr w14:val="tx1"/>
            </w14:solidFill>
          </w14:textFill>
        </w:rPr>
        <w:t>支撑</w:t>
      </w:r>
      <w:r>
        <w:rPr>
          <w:rFonts w:ascii="Times New Roman" w:hAnsi="Times New Roman" w:eastAsia="仿宋" w:cs="Segoe UI"/>
          <w:color w:val="1F2328"/>
        </w:rPr>
        <w:t>学院的</w:t>
      </w:r>
      <w:r>
        <w:rPr>
          <w:rFonts w:hint="eastAsia" w:ascii="Times New Roman" w:hAnsi="Times New Roman" w:eastAsia="仿宋" w:cs="Segoe UI"/>
          <w:color w:val="1F2328"/>
        </w:rPr>
        <w:t>课堂</w:t>
      </w:r>
      <w:r>
        <w:rPr>
          <w:rFonts w:ascii="Times New Roman" w:hAnsi="Times New Roman" w:eastAsia="仿宋" w:cs="Segoe UI"/>
          <w:color w:val="1F2328"/>
        </w:rPr>
        <w:t>教学，更承担着为中国管理教育提供支持、</w:t>
      </w:r>
      <w:r>
        <w:rPr>
          <w:rFonts w:hint="eastAsia" w:ascii="Times New Roman" w:hAnsi="Times New Roman" w:eastAsia="仿宋" w:cs="Segoe UI"/>
          <w:color w:val="1F2328"/>
        </w:rPr>
        <w:t>为国际管理教育</w:t>
      </w:r>
      <w:r>
        <w:rPr>
          <w:rFonts w:ascii="Times New Roman" w:hAnsi="Times New Roman" w:eastAsia="仿宋" w:cs="Segoe UI"/>
          <w:color w:val="1F2328"/>
        </w:rPr>
        <w:t>贡献中国智慧的重任。未来，中欧将紧密配合</w:t>
      </w:r>
      <w:r>
        <w:rPr>
          <w:rFonts w:hint="eastAsia" w:ascii="Times New Roman" w:hAnsi="Times New Roman" w:eastAsia="仿宋" w:cs="Segoe UI"/>
          <w:color w:val="1F2328"/>
        </w:rPr>
        <w:t>中国学位与研究生教育学会及全国MBA</w:t>
      </w:r>
      <w:r>
        <w:rPr>
          <w:rFonts w:ascii="Times New Roman" w:hAnsi="Times New Roman" w:eastAsia="仿宋" w:cs="Segoe UI"/>
          <w:color w:val="1F2328"/>
        </w:rPr>
        <w:t>教指委</w:t>
      </w:r>
      <w:r>
        <w:rPr>
          <w:rFonts w:hint="eastAsia" w:ascii="Times New Roman" w:hAnsi="Times New Roman" w:eastAsia="仿宋" w:cs="Segoe UI"/>
          <w:color w:val="1F2328"/>
        </w:rPr>
        <w:t>相关工作计划</w:t>
      </w:r>
      <w:r>
        <w:rPr>
          <w:rFonts w:ascii="Times New Roman" w:hAnsi="Times New Roman" w:eastAsia="仿宋" w:cs="Segoe UI"/>
          <w:color w:val="1F2328"/>
        </w:rPr>
        <w:t>，从案例建设</w:t>
      </w:r>
      <w:r>
        <w:rPr>
          <w:rFonts w:hint="eastAsia" w:ascii="Times New Roman" w:hAnsi="Times New Roman" w:eastAsia="仿宋" w:cs="Segoe UI"/>
          <w:color w:val="1F2328"/>
        </w:rPr>
        <w:t>合作</w:t>
      </w:r>
      <w:r>
        <w:rPr>
          <w:rFonts w:ascii="Times New Roman" w:hAnsi="Times New Roman" w:eastAsia="仿宋" w:cs="Segoe UI"/>
          <w:color w:val="1F2328"/>
        </w:rPr>
        <w:t>着手，共同推进中国</w:t>
      </w:r>
      <w:r>
        <w:rPr>
          <w:rFonts w:hint="eastAsia" w:ascii="Times New Roman" w:hAnsi="Times New Roman" w:eastAsia="仿宋" w:cs="Segoe UI"/>
          <w:color w:val="1F2328"/>
        </w:rPr>
        <w:t>管理</w:t>
      </w:r>
      <w:r>
        <w:rPr>
          <w:rFonts w:ascii="Times New Roman" w:hAnsi="Times New Roman" w:eastAsia="仿宋" w:cs="Segoe UI"/>
          <w:color w:val="1F2328"/>
        </w:rPr>
        <w:t>教育的高质量发展。</w:t>
      </w:r>
      <w:r>
        <w:rPr>
          <w:rFonts w:cs="Calibri"/>
          <w:b/>
          <w:bCs/>
          <w:color w:val="C00000"/>
        </w:rPr>
        <w:t xml:space="preserve"> </w:t>
      </w:r>
      <w:r>
        <w:rPr>
          <w:rFonts w:cs="Calibri"/>
          <w:b/>
          <w:bCs/>
          <w:color w:val="C00000"/>
        </w:rPr>
        <w:br w:type="page"/>
      </w:r>
    </w:p>
    <w:p w14:paraId="0EF9B7B6">
      <w:pPr>
        <w:spacing w:before="120" w:line="220" w:lineRule="exact"/>
        <w:ind w:right="720"/>
        <w:jc w:val="right"/>
        <w:rPr>
          <w:rFonts w:ascii="宋体" w:hAnsi="宋体" w:cs="Calibri"/>
          <w:b/>
          <w:bCs/>
          <w:color w:val="000000"/>
          <w:sz w:val="24"/>
        </w:rPr>
      </w:pPr>
    </w:p>
    <w:p w14:paraId="1D09884E">
      <w:pPr>
        <w:widowControl/>
        <w:spacing w:after="160" w:line="259" w:lineRule="auto"/>
        <w:rPr>
          <w:rFonts w:ascii="宋体" w:hAnsi="宋体" w:cs="Calibri"/>
          <w:b/>
          <w:bCs/>
          <w:color w:val="000000"/>
          <w:sz w:val="24"/>
        </w:rPr>
      </w:pPr>
      <w:r>
        <w:rPr>
          <w:rFonts w:ascii="宋体" w:hAnsi="宋体" w:cs="Calibri"/>
          <w:b/>
          <w:bCs/>
          <w:color w:val="000000"/>
          <w:sz w:val="24"/>
        </w:rPr>
        <w:drawing>
          <wp:anchor distT="0" distB="0" distL="114300" distR="114300" simplePos="0" relativeHeight="251659264" behindDoc="0" locked="0" layoutInCell="1" allowOverlap="1">
            <wp:simplePos x="0" y="0"/>
            <wp:positionH relativeFrom="margin">
              <wp:posOffset>275590</wp:posOffset>
            </wp:positionH>
            <wp:positionV relativeFrom="paragraph">
              <wp:posOffset>441960</wp:posOffset>
            </wp:positionV>
            <wp:extent cx="5452110" cy="8083550"/>
            <wp:effectExtent l="0" t="0" r="5715" b="3175"/>
            <wp:wrapSquare wrapText="bothSides"/>
            <wp:docPr id="1006321286" name="图片 1006321286"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21286" name="图片 1006321286" descr="文本, 信件&#10;&#10;描述已自动生成"/>
                    <pic:cNvPicPr>
                      <a:picLocks noChangeAspect="1"/>
                    </pic:cNvPicPr>
                  </pic:nvPicPr>
                  <pic:blipFill>
                    <a:blip r:embed="rId5"/>
                    <a:srcRect l="11140" t="8980" r="10537" b="5004"/>
                    <a:stretch>
                      <a:fillRect/>
                    </a:stretch>
                  </pic:blipFill>
                  <pic:spPr>
                    <a:xfrm>
                      <a:off x="0" y="0"/>
                      <a:ext cx="5452110" cy="8083550"/>
                    </a:xfrm>
                    <a:prstGeom prst="rect">
                      <a:avLst/>
                    </a:prstGeom>
                    <a:noFill/>
                    <a:ln w="88900" cap="sq" cmpd="sng" algn="ctr">
                      <a:noFill/>
                      <a:prstDash val="solid"/>
                      <a:miter lim="800000"/>
                      <a:headEnd type="none" w="med" len="med"/>
                      <a:tailEnd type="none" w="med" len="med"/>
                    </a:ln>
                    <a:effectLst>
                      <a:outerShdw sx="1000" sy="1000" algn="tl" rotWithShape="0">
                        <a:sysClr val="window" lastClr="FFFFFF"/>
                      </a:outerShdw>
                      <a:softEdge rad="63500"/>
                    </a:effectLst>
                    <a:scene3d>
                      <a:camera prst="orthographicFront"/>
                      <a:lightRig rig="twoPt" dir="t">
                        <a:rot lat="0" lon="0" rev="7200000"/>
                      </a:lightRig>
                    </a:scene3d>
                    <a:sp3d>
                      <a:bevelT w="0" h="0"/>
                      <a:contourClr>
                        <a:srgbClr val="FFFFFF"/>
                      </a:contourClr>
                    </a:sp3d>
                  </pic:spPr>
                </pic:pic>
              </a:graphicData>
            </a:graphic>
          </wp:anchor>
        </w:drawing>
      </w:r>
      <w:r>
        <w:rPr>
          <w:rFonts w:ascii="宋体" w:hAnsi="宋体" w:cs="Calibri"/>
          <w:b/>
          <w:bCs/>
          <w:color w:val="000000"/>
          <w:sz w:val="24"/>
        </w:rPr>
        <w:t xml:space="preserve"> </w:t>
      </w:r>
      <w:r>
        <w:rPr>
          <w:rFonts w:hint="eastAsia" w:ascii="宋体" w:hAnsi="宋体" w:cs="Calibri"/>
          <w:b/>
          <w:bCs/>
          <w:color w:val="000000"/>
          <w:sz w:val="24"/>
        </w:rPr>
        <w:t>附件2：上海MBA教指委推荐函</w:t>
      </w:r>
    </w:p>
    <w:p w14:paraId="11BEC940">
      <w:pPr>
        <w:widowControl/>
        <w:spacing w:after="160" w:line="259" w:lineRule="auto"/>
        <w:rPr>
          <w:rFonts w:ascii="宋体" w:hAnsi="宋体" w:cs="Calibri"/>
          <w:b/>
          <w:bCs/>
          <w:color w:val="C00000"/>
          <w:sz w:val="24"/>
        </w:rPr>
      </w:pPr>
      <w:r>
        <w:rPr>
          <w:rFonts w:ascii="宋体" w:hAnsi="宋体" w:cs="Calibri"/>
          <w:b/>
          <w:bCs/>
          <w:color w:val="C00000"/>
          <w:sz w:val="24"/>
        </w:rPr>
        <w:br w:type="page"/>
      </w:r>
    </w:p>
    <w:p w14:paraId="5F3B48AE">
      <w:pPr>
        <w:widowControl/>
        <w:spacing w:after="160" w:line="259" w:lineRule="auto"/>
        <w:rPr>
          <w:rFonts w:ascii="宋体" w:hAnsi="宋体" w:cs="Calibri"/>
          <w:b/>
          <w:bCs/>
          <w:color w:val="C00000"/>
          <w:sz w:val="24"/>
        </w:rPr>
      </w:pPr>
      <w:r>
        <w:rPr>
          <w:rFonts w:ascii="宋体" w:hAnsi="宋体" w:cs="Calibri"/>
          <w:b/>
          <w:bCs/>
          <w:color w:val="000000" w:themeColor="text1"/>
          <w:sz w:val="24"/>
          <w14:textFill>
            <w14:solidFill>
              <w14:schemeClr w14:val="tx1"/>
            </w14:solidFill>
          </w14:textFill>
        </w:rPr>
        <w:drawing>
          <wp:anchor distT="0" distB="0" distL="114300" distR="114300" simplePos="0" relativeHeight="251660288" behindDoc="0" locked="0" layoutInCell="1" allowOverlap="1">
            <wp:simplePos x="0" y="0"/>
            <wp:positionH relativeFrom="column">
              <wp:posOffset>273050</wp:posOffset>
            </wp:positionH>
            <wp:positionV relativeFrom="paragraph">
              <wp:posOffset>744855</wp:posOffset>
            </wp:positionV>
            <wp:extent cx="5115560" cy="3492500"/>
            <wp:effectExtent l="0" t="0" r="8890" b="3175"/>
            <wp:wrapSquare wrapText="bothSides"/>
            <wp:docPr id="1631831944" name="Picture 1" descr="A certificate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31944" name="Picture 1" descr="A certificate with text and symbol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l="516" t="3041" r="2650" b="3523"/>
                    <a:stretch>
                      <a:fillRect/>
                    </a:stretch>
                  </pic:blipFill>
                  <pic:spPr>
                    <a:xfrm>
                      <a:off x="0" y="0"/>
                      <a:ext cx="5115560" cy="3492500"/>
                    </a:xfrm>
                    <a:prstGeom prst="rect">
                      <a:avLst/>
                    </a:prstGeom>
                    <a:noFill/>
                    <a:ln>
                      <a:noFill/>
                    </a:ln>
                  </pic:spPr>
                </pic:pic>
              </a:graphicData>
            </a:graphic>
          </wp:anchor>
        </w:drawing>
      </w:r>
      <w:r>
        <w:rPr>
          <w:rFonts w:hint="eastAsia" w:ascii="宋体" w:hAnsi="宋体" w:cs="Calibri"/>
          <w:b/>
          <w:bCs/>
          <w:color w:val="000000" w:themeColor="text1"/>
          <w:sz w:val="24"/>
          <w14:textFill>
            <w14:solidFill>
              <w14:schemeClr w14:val="tx1"/>
            </w14:solidFill>
          </w14:textFill>
        </w:rPr>
        <w:t>附件3：ChinaCases.Org参与项目获国家级教学成果二等奖、上海市教学成果特等奖</w:t>
      </w:r>
    </w:p>
    <w:p w14:paraId="00603067">
      <w:pPr>
        <w:widowControl/>
        <w:spacing w:after="160" w:line="259" w:lineRule="auto"/>
        <w:jc w:val="center"/>
        <w:rPr>
          <w:rFonts w:ascii="宋体" w:hAnsi="宋体" w:cs="Calibri"/>
          <w:b/>
          <w:bCs/>
          <w:color w:val="000000"/>
          <w:sz w:val="24"/>
        </w:rPr>
      </w:pPr>
      <w:r>
        <w:rPr>
          <w14:ligatures w14:val="standardContextual"/>
        </w:rPr>
        <w:drawing>
          <wp:inline distT="0" distB="0" distL="0" distR="0">
            <wp:extent cx="3036570" cy="4478020"/>
            <wp:effectExtent l="0" t="0" r="1905" b="8255"/>
            <wp:docPr id="1075204328"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04328" name="Picture 1" descr="A close up of a document&#10;&#10;Description automatically generated"/>
                    <pic:cNvPicPr>
                      <a:picLocks noChangeAspect="1"/>
                    </pic:cNvPicPr>
                  </pic:nvPicPr>
                  <pic:blipFill>
                    <a:blip r:embed="rId7"/>
                    <a:srcRect l="29280" t="1766" r="29971" b="2079"/>
                    <a:stretch>
                      <a:fillRect/>
                    </a:stretch>
                  </pic:blipFill>
                  <pic:spPr>
                    <a:xfrm>
                      <a:off x="0" y="0"/>
                      <a:ext cx="3047339" cy="4494046"/>
                    </a:xfrm>
                    <a:prstGeom prst="rect">
                      <a:avLst/>
                    </a:prstGeom>
                    <a:ln>
                      <a:noFill/>
                    </a:ln>
                  </pic:spPr>
                </pic:pic>
              </a:graphicData>
            </a:graphic>
          </wp:inline>
        </w:drawing>
      </w:r>
    </w:p>
    <w:p w14:paraId="052D9632">
      <w:pPr>
        <w:widowControl/>
        <w:spacing w:after="160" w:line="259" w:lineRule="auto"/>
        <w:rPr>
          <w:rFonts w:ascii="宋体" w:hAnsi="宋体" w:cs="Calibri"/>
          <w:b/>
          <w:bCs/>
          <w:color w:val="000000"/>
          <w:sz w:val="24"/>
        </w:rPr>
      </w:pPr>
      <w:r>
        <w:rPr>
          <w:rFonts w:hint="eastAsia" w:ascii="宋体" w:hAnsi="宋体" w:cs="Calibri"/>
          <w:b/>
          <w:bCs/>
          <w:color w:val="000000"/>
          <w:sz w:val="24"/>
        </w:rPr>
        <w:t>附件4：ChinaCases.Org案例库软件著作权登记证书</w:t>
      </w:r>
    </w:p>
    <w:p w14:paraId="40E7A72D">
      <w:pPr>
        <w:widowControl/>
        <w:spacing w:after="160" w:line="259" w:lineRule="auto"/>
        <w:rPr>
          <w:rFonts w:ascii="宋体" w:hAnsi="宋体" w:cs="Calibri"/>
          <w:b/>
          <w:bCs/>
          <w:color w:val="000000"/>
          <w:sz w:val="24"/>
        </w:rPr>
      </w:pPr>
    </w:p>
    <w:p w14:paraId="1205353D">
      <w:pPr>
        <w:widowControl/>
        <w:spacing w:after="160" w:line="259" w:lineRule="auto"/>
        <w:rPr>
          <w:rFonts w:ascii="宋体" w:hAnsi="宋体" w:cs="Calibri"/>
          <w:b/>
          <w:bCs/>
          <w:color w:val="000000"/>
          <w:sz w:val="24"/>
        </w:rPr>
      </w:pPr>
      <w:r>
        <w:drawing>
          <wp:inline distT="0" distB="0" distL="0" distR="0">
            <wp:extent cx="5761990" cy="7611745"/>
            <wp:effectExtent l="0" t="0" r="635" b="8255"/>
            <wp:docPr id="1202537996" name="图片 2" descr="一些文字和图片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37996" name="图片 2" descr="一些文字和图片的手机截图&#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b="6567"/>
                    <a:stretch>
                      <a:fillRect/>
                    </a:stretch>
                  </pic:blipFill>
                  <pic:spPr>
                    <a:xfrm>
                      <a:off x="0" y="0"/>
                      <a:ext cx="5761990" cy="7612083"/>
                    </a:xfrm>
                    <a:prstGeom prst="rect">
                      <a:avLst/>
                    </a:prstGeom>
                    <a:noFill/>
                    <a:ln>
                      <a:noFill/>
                    </a:ln>
                  </pic:spPr>
                </pic:pic>
              </a:graphicData>
            </a:graphic>
          </wp:inline>
        </w:drawing>
      </w:r>
    </w:p>
    <w:p w14:paraId="406EFA47">
      <w:pPr>
        <w:widowControl/>
        <w:spacing w:after="160" w:line="259" w:lineRule="auto"/>
        <w:rPr>
          <w:rFonts w:hint="eastAsia" w:ascii="宋体" w:hAnsi="宋体" w:cs="宋体"/>
          <w:bCs/>
          <w:sz w:val="24"/>
          <w:szCs w:val="18"/>
        </w:rPr>
      </w:pPr>
      <w:r>
        <w:rPr>
          <w:rFonts w:ascii="宋体" w:hAnsi="宋体" w:cs="Calibri"/>
          <w:b/>
          <w:bCs/>
          <w:color w:val="000000"/>
          <w:sz w:val="24"/>
        </w:rPr>
        <w:br w:type="page"/>
      </w:r>
      <w:r>
        <w:rPr>
          <w:rFonts w:hint="eastAsia" w:ascii="宋体" w:hAnsi="宋体"/>
          <w:b/>
          <w:sz w:val="28"/>
          <w:szCs w:val="20"/>
        </w:rPr>
        <w:t>附件5：</w:t>
      </w:r>
      <w:r>
        <w:rPr>
          <w:rFonts w:ascii="宋体" w:hAnsi="宋体"/>
          <w:b/>
          <w:sz w:val="28"/>
          <w:szCs w:val="20"/>
        </w:rPr>
        <w:t>ChinaCases.Org</w:t>
      </w:r>
      <w:r>
        <w:rPr>
          <w:rFonts w:hint="eastAsia" w:ascii="宋体" w:hAnsi="宋体" w:cs="宋体"/>
          <w:b/>
          <w:sz w:val="28"/>
          <w:szCs w:val="20"/>
        </w:rPr>
        <w:t>案例库用户分布</w:t>
      </w:r>
      <w:r>
        <w:rPr>
          <w:rFonts w:hint="eastAsia" w:ascii="宋体" w:hAnsi="宋体" w:cs="宋体"/>
          <w:bCs/>
          <w:sz w:val="28"/>
          <w:szCs w:val="20"/>
        </w:rPr>
        <w:t>（截至202</w:t>
      </w:r>
      <w:r>
        <w:rPr>
          <w:rFonts w:hint="eastAsia" w:ascii="宋体" w:hAnsi="宋体" w:cs="宋体"/>
          <w:bCs/>
          <w:sz w:val="28"/>
          <w:szCs w:val="20"/>
          <w:lang w:val="en-US" w:eastAsia="zh-CN"/>
        </w:rPr>
        <w:t>5</w:t>
      </w:r>
      <w:r>
        <w:rPr>
          <w:rFonts w:hint="eastAsia" w:ascii="宋体" w:hAnsi="宋体" w:cs="宋体"/>
          <w:bCs/>
          <w:sz w:val="28"/>
          <w:szCs w:val="20"/>
        </w:rPr>
        <w:t>年</w:t>
      </w:r>
      <w:r>
        <w:rPr>
          <w:rFonts w:hint="eastAsia" w:ascii="宋体" w:hAnsi="宋体" w:cs="宋体"/>
          <w:bCs/>
          <w:sz w:val="28"/>
          <w:szCs w:val="20"/>
          <w:lang w:val="en-US" w:eastAsia="zh-CN"/>
        </w:rPr>
        <w:t>7</w:t>
      </w:r>
      <w:r>
        <w:rPr>
          <w:rFonts w:hint="eastAsia" w:ascii="宋体" w:hAnsi="宋体" w:cs="宋体"/>
          <w:bCs/>
          <w:sz w:val="28"/>
          <w:szCs w:val="20"/>
        </w:rPr>
        <w:t>月</w:t>
      </w:r>
      <w:r>
        <w:rPr>
          <w:rFonts w:hint="eastAsia" w:ascii="宋体" w:hAnsi="宋体" w:cs="宋体"/>
          <w:bCs/>
          <w:sz w:val="24"/>
          <w:szCs w:val="18"/>
        </w:rPr>
        <w:t>）</w:t>
      </w:r>
    </w:p>
    <w:p w14:paraId="7B06F07B">
      <w:pPr>
        <w:widowControl/>
        <w:spacing w:after="160" w:line="259"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中国工商管理国际案例库（ChinaCases.Org）用户院校达到1</w:t>
      </w:r>
      <w:r>
        <w:rPr>
          <w:rFonts w:hint="eastAsia" w:ascii="宋体" w:hAnsi="宋体" w:cs="宋体"/>
          <w:color w:val="000000" w:themeColor="text1"/>
          <w:sz w:val="24"/>
          <w:lang w:val="en-US" w:eastAsia="zh-CN"/>
          <w14:textFill>
            <w14:solidFill>
              <w14:schemeClr w14:val="tx1"/>
            </w14:solidFill>
          </w14:textFill>
        </w:rPr>
        <w:t>72</w:t>
      </w:r>
      <w:r>
        <w:rPr>
          <w:rFonts w:hint="eastAsia" w:ascii="宋体" w:hAnsi="宋体" w:cs="宋体"/>
          <w:color w:val="000000" w:themeColor="text1"/>
          <w:sz w:val="24"/>
          <w14:textFill>
            <w14:solidFill>
              <w14:schemeClr w14:val="tx1"/>
            </w14:solidFill>
          </w14:textFill>
        </w:rPr>
        <w:t>家！ChinaCases.Org案例库聚焦中国问题、坚持国际标准、服务课堂教学，用户院校广泛分布于全国各地，类型多样，而且普遍重视办学质量，详见下表。</w:t>
      </w:r>
    </w:p>
    <w:p w14:paraId="54449F42">
      <w:pPr>
        <w:spacing w:before="120" w:after="156" w:afterLines="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表一：用户院校区域分布</w:t>
      </w:r>
    </w:p>
    <w:tbl>
      <w:tblPr>
        <w:tblStyle w:val="5"/>
        <w:tblW w:w="8200" w:type="dxa"/>
        <w:tblInd w:w="28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100"/>
        <w:gridCol w:w="4100"/>
      </w:tblGrid>
      <w:tr w14:paraId="413C3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100" w:type="dxa"/>
            <w:shd w:val="clear" w:color="auto" w:fill="FFFF00"/>
            <w:vAlign w:val="center"/>
          </w:tcPr>
          <w:p w14:paraId="679E9B7D">
            <w:pPr>
              <w:jc w:val="center"/>
              <w:textAlignment w:val="center"/>
              <w:rPr>
                <w:rFonts w:ascii="宋体" w:hAnsi="宋体" w:cs="Arial"/>
                <w:b/>
                <w:bCs/>
                <w:sz w:val="24"/>
              </w:rPr>
            </w:pPr>
            <w:r>
              <w:rPr>
                <w:rFonts w:hint="eastAsia" w:ascii="宋体" w:hAnsi="宋体" w:cs="Arial"/>
                <w:b/>
                <w:bCs/>
                <w:sz w:val="24"/>
              </w:rPr>
              <w:t>区域</w:t>
            </w:r>
          </w:p>
        </w:tc>
        <w:tc>
          <w:tcPr>
            <w:tcW w:w="4100" w:type="dxa"/>
            <w:shd w:val="clear" w:color="auto" w:fill="FFFF00"/>
            <w:vAlign w:val="center"/>
          </w:tcPr>
          <w:p w14:paraId="4ABFF58F">
            <w:pPr>
              <w:jc w:val="center"/>
              <w:textAlignment w:val="center"/>
              <w:rPr>
                <w:rFonts w:ascii="宋体" w:hAnsi="宋体" w:cs="Arial"/>
                <w:b/>
                <w:bCs/>
                <w:sz w:val="24"/>
              </w:rPr>
            </w:pPr>
            <w:r>
              <w:rPr>
                <w:rFonts w:hint="eastAsia" w:ascii="宋体" w:hAnsi="宋体" w:cs="Arial"/>
                <w:b/>
                <w:bCs/>
                <w:sz w:val="24"/>
              </w:rPr>
              <w:t>用户院校（家）</w:t>
            </w:r>
          </w:p>
        </w:tc>
      </w:tr>
      <w:tr w14:paraId="7EF5BD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100" w:type="dxa"/>
            <w:vAlign w:val="center"/>
          </w:tcPr>
          <w:p w14:paraId="3F4B8FDE">
            <w:pPr>
              <w:jc w:val="center"/>
              <w:textAlignment w:val="center"/>
              <w:rPr>
                <w:rFonts w:ascii="宋体" w:hAnsi="宋体" w:cs="Arial"/>
                <w:sz w:val="24"/>
              </w:rPr>
            </w:pPr>
            <w:r>
              <w:rPr>
                <w:rFonts w:hint="eastAsia" w:ascii="宋体" w:hAnsi="宋体" w:cs="Arial"/>
                <w:sz w:val="24"/>
              </w:rPr>
              <w:t>华东</w:t>
            </w:r>
          </w:p>
        </w:tc>
        <w:tc>
          <w:tcPr>
            <w:tcW w:w="4100" w:type="dxa"/>
            <w:vAlign w:val="center"/>
          </w:tcPr>
          <w:p w14:paraId="50DB0FB0">
            <w:pPr>
              <w:jc w:val="center"/>
              <w:textAlignment w:val="center"/>
              <w:rPr>
                <w:rFonts w:hint="default" w:ascii="宋体" w:hAnsi="宋体" w:cs="Arial" w:eastAsiaTheme="minorEastAsia"/>
                <w:sz w:val="24"/>
                <w:lang w:val="en-US" w:eastAsia="zh-CN"/>
              </w:rPr>
            </w:pPr>
            <w:r>
              <w:rPr>
                <w:rFonts w:hint="eastAsia" w:ascii="宋体" w:hAnsi="宋体" w:cs="Arial"/>
                <w:sz w:val="24"/>
                <w:lang w:val="en-US" w:eastAsia="zh-CN"/>
              </w:rPr>
              <w:t>70</w:t>
            </w:r>
          </w:p>
        </w:tc>
      </w:tr>
      <w:tr w14:paraId="4E458F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4100" w:type="dxa"/>
            <w:vAlign w:val="center"/>
          </w:tcPr>
          <w:p w14:paraId="3467A3A5">
            <w:pPr>
              <w:jc w:val="center"/>
              <w:textAlignment w:val="center"/>
              <w:rPr>
                <w:rFonts w:ascii="宋体" w:hAnsi="宋体" w:cs="Arial"/>
                <w:sz w:val="24"/>
              </w:rPr>
            </w:pPr>
            <w:r>
              <w:rPr>
                <w:rFonts w:hint="eastAsia" w:ascii="宋体" w:hAnsi="宋体" w:cs="Arial"/>
                <w:sz w:val="24"/>
              </w:rPr>
              <w:t>华北</w:t>
            </w:r>
          </w:p>
        </w:tc>
        <w:tc>
          <w:tcPr>
            <w:tcW w:w="4100" w:type="dxa"/>
            <w:vAlign w:val="center"/>
          </w:tcPr>
          <w:p w14:paraId="06FDB641">
            <w:pPr>
              <w:jc w:val="center"/>
              <w:textAlignment w:val="center"/>
              <w:rPr>
                <w:rFonts w:hint="eastAsia" w:ascii="宋体" w:hAnsi="宋体" w:cs="Arial" w:eastAsiaTheme="minorEastAsia"/>
                <w:sz w:val="24"/>
                <w:lang w:val="en-US" w:eastAsia="zh-CN"/>
              </w:rPr>
            </w:pPr>
            <w:r>
              <w:rPr>
                <w:rFonts w:hint="eastAsia" w:ascii="宋体" w:hAnsi="宋体" w:cs="Arial"/>
                <w:sz w:val="24"/>
              </w:rPr>
              <w:t>2</w:t>
            </w:r>
            <w:r>
              <w:rPr>
                <w:rFonts w:hint="eastAsia" w:ascii="宋体" w:hAnsi="宋体" w:cs="Arial"/>
                <w:sz w:val="24"/>
                <w:lang w:val="en-US" w:eastAsia="zh-CN"/>
              </w:rPr>
              <w:t>8</w:t>
            </w:r>
          </w:p>
        </w:tc>
      </w:tr>
      <w:tr w14:paraId="56F6D0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100" w:type="dxa"/>
            <w:vAlign w:val="center"/>
          </w:tcPr>
          <w:p w14:paraId="5DA915DD">
            <w:pPr>
              <w:jc w:val="center"/>
              <w:textAlignment w:val="center"/>
              <w:rPr>
                <w:rFonts w:ascii="宋体" w:hAnsi="宋体" w:cs="Arial"/>
                <w:sz w:val="24"/>
              </w:rPr>
            </w:pPr>
            <w:r>
              <w:rPr>
                <w:rFonts w:hint="eastAsia" w:ascii="宋体" w:hAnsi="宋体" w:cs="Arial"/>
                <w:sz w:val="24"/>
              </w:rPr>
              <w:t>西南</w:t>
            </w:r>
          </w:p>
        </w:tc>
        <w:tc>
          <w:tcPr>
            <w:tcW w:w="4100" w:type="dxa"/>
            <w:vAlign w:val="center"/>
          </w:tcPr>
          <w:p w14:paraId="3AB899F3">
            <w:pPr>
              <w:jc w:val="center"/>
              <w:textAlignment w:val="center"/>
              <w:rPr>
                <w:rFonts w:hint="eastAsia" w:ascii="宋体" w:hAnsi="宋体" w:cs="Arial" w:eastAsiaTheme="minorEastAsia"/>
                <w:sz w:val="24"/>
                <w:lang w:val="en-US" w:eastAsia="zh-CN"/>
              </w:rPr>
            </w:pPr>
            <w:r>
              <w:rPr>
                <w:rFonts w:hint="eastAsia" w:ascii="宋体" w:hAnsi="宋体" w:cs="Arial"/>
                <w:sz w:val="24"/>
              </w:rPr>
              <w:t>1</w:t>
            </w:r>
            <w:r>
              <w:rPr>
                <w:rFonts w:hint="eastAsia" w:ascii="宋体" w:hAnsi="宋体" w:cs="Arial"/>
                <w:sz w:val="24"/>
                <w:lang w:val="en-US" w:eastAsia="zh-CN"/>
              </w:rPr>
              <w:t>9</w:t>
            </w:r>
          </w:p>
        </w:tc>
      </w:tr>
      <w:tr w14:paraId="538E72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100" w:type="dxa"/>
            <w:vAlign w:val="center"/>
          </w:tcPr>
          <w:p w14:paraId="55B7F3CC">
            <w:pPr>
              <w:jc w:val="center"/>
              <w:textAlignment w:val="center"/>
              <w:rPr>
                <w:rFonts w:ascii="宋体" w:hAnsi="宋体" w:cs="Arial"/>
                <w:sz w:val="24"/>
              </w:rPr>
            </w:pPr>
            <w:r>
              <w:rPr>
                <w:rFonts w:hint="eastAsia" w:ascii="宋体" w:hAnsi="宋体" w:cs="Arial"/>
                <w:sz w:val="24"/>
              </w:rPr>
              <w:t>华南</w:t>
            </w:r>
          </w:p>
        </w:tc>
        <w:tc>
          <w:tcPr>
            <w:tcW w:w="4100" w:type="dxa"/>
            <w:vAlign w:val="center"/>
          </w:tcPr>
          <w:p w14:paraId="0D10AB76">
            <w:pPr>
              <w:jc w:val="center"/>
              <w:textAlignment w:val="center"/>
              <w:rPr>
                <w:rFonts w:hint="eastAsia" w:ascii="宋体" w:hAnsi="宋体" w:cs="Arial" w:eastAsiaTheme="minorEastAsia"/>
                <w:sz w:val="24"/>
                <w:lang w:val="en-US" w:eastAsia="zh-CN"/>
              </w:rPr>
            </w:pPr>
            <w:r>
              <w:rPr>
                <w:rFonts w:hint="eastAsia" w:ascii="宋体" w:hAnsi="宋体" w:cs="Arial"/>
                <w:sz w:val="24"/>
              </w:rPr>
              <w:t>1</w:t>
            </w:r>
            <w:r>
              <w:rPr>
                <w:rFonts w:hint="eastAsia" w:ascii="宋体" w:hAnsi="宋体" w:cs="Arial"/>
                <w:sz w:val="24"/>
                <w:lang w:val="en-US" w:eastAsia="zh-CN"/>
              </w:rPr>
              <w:t>8</w:t>
            </w:r>
          </w:p>
        </w:tc>
      </w:tr>
      <w:tr w14:paraId="0C020B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100" w:type="dxa"/>
            <w:vAlign w:val="center"/>
          </w:tcPr>
          <w:p w14:paraId="1ADA179A">
            <w:pPr>
              <w:jc w:val="center"/>
              <w:textAlignment w:val="center"/>
              <w:rPr>
                <w:rFonts w:ascii="宋体" w:hAnsi="宋体" w:cs="Arial"/>
                <w:sz w:val="24"/>
              </w:rPr>
            </w:pPr>
            <w:r>
              <w:rPr>
                <w:rFonts w:hint="eastAsia" w:ascii="宋体" w:hAnsi="宋体" w:cs="Arial"/>
                <w:sz w:val="24"/>
              </w:rPr>
              <w:t>西北</w:t>
            </w:r>
          </w:p>
        </w:tc>
        <w:tc>
          <w:tcPr>
            <w:tcW w:w="4100" w:type="dxa"/>
            <w:vAlign w:val="center"/>
          </w:tcPr>
          <w:p w14:paraId="3BC83E12">
            <w:pPr>
              <w:jc w:val="center"/>
              <w:textAlignment w:val="center"/>
              <w:rPr>
                <w:rFonts w:hint="eastAsia" w:ascii="宋体" w:hAnsi="宋体" w:cs="Arial" w:eastAsiaTheme="minorEastAsia"/>
                <w:sz w:val="24"/>
                <w:lang w:val="en-US" w:eastAsia="zh-CN"/>
              </w:rPr>
            </w:pPr>
            <w:r>
              <w:rPr>
                <w:rFonts w:hint="eastAsia" w:ascii="宋体" w:hAnsi="宋体" w:cs="Arial"/>
                <w:sz w:val="24"/>
              </w:rPr>
              <w:t>1</w:t>
            </w:r>
            <w:r>
              <w:rPr>
                <w:rFonts w:hint="eastAsia" w:ascii="宋体" w:hAnsi="宋体" w:cs="Arial"/>
                <w:sz w:val="24"/>
                <w:lang w:val="en-US" w:eastAsia="zh-CN"/>
              </w:rPr>
              <w:t>3</w:t>
            </w:r>
          </w:p>
        </w:tc>
      </w:tr>
      <w:tr w14:paraId="25E84C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4100" w:type="dxa"/>
            <w:vAlign w:val="center"/>
          </w:tcPr>
          <w:p w14:paraId="4573F153">
            <w:pPr>
              <w:jc w:val="center"/>
              <w:textAlignment w:val="center"/>
              <w:rPr>
                <w:rFonts w:ascii="宋体" w:hAnsi="宋体" w:cs="Arial"/>
                <w:sz w:val="24"/>
              </w:rPr>
            </w:pPr>
            <w:r>
              <w:rPr>
                <w:rFonts w:hint="eastAsia" w:ascii="宋体" w:hAnsi="宋体" w:cs="Arial"/>
                <w:sz w:val="24"/>
              </w:rPr>
              <w:t>华中</w:t>
            </w:r>
          </w:p>
        </w:tc>
        <w:tc>
          <w:tcPr>
            <w:tcW w:w="4100" w:type="dxa"/>
            <w:vAlign w:val="center"/>
          </w:tcPr>
          <w:p w14:paraId="0BFDE289">
            <w:pPr>
              <w:jc w:val="center"/>
              <w:textAlignment w:val="center"/>
              <w:rPr>
                <w:rFonts w:hint="eastAsia" w:ascii="宋体" w:hAnsi="宋体" w:cs="Arial" w:eastAsiaTheme="minorEastAsia"/>
                <w:sz w:val="24"/>
                <w:lang w:val="en-US" w:eastAsia="zh-CN"/>
              </w:rPr>
            </w:pPr>
            <w:r>
              <w:rPr>
                <w:rFonts w:hint="eastAsia" w:ascii="宋体" w:hAnsi="宋体" w:cs="Arial"/>
                <w:sz w:val="24"/>
              </w:rPr>
              <w:t>1</w:t>
            </w:r>
            <w:r>
              <w:rPr>
                <w:rFonts w:hint="eastAsia" w:ascii="宋体" w:hAnsi="宋体" w:cs="Arial"/>
                <w:sz w:val="24"/>
                <w:lang w:val="en-US" w:eastAsia="zh-CN"/>
              </w:rPr>
              <w:t>4</w:t>
            </w:r>
          </w:p>
        </w:tc>
      </w:tr>
      <w:tr w14:paraId="379294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100" w:type="dxa"/>
            <w:vAlign w:val="center"/>
          </w:tcPr>
          <w:p w14:paraId="5BB99377">
            <w:pPr>
              <w:jc w:val="center"/>
              <w:textAlignment w:val="center"/>
              <w:rPr>
                <w:rFonts w:ascii="宋体" w:hAnsi="宋体" w:cs="Arial"/>
                <w:sz w:val="24"/>
              </w:rPr>
            </w:pPr>
            <w:r>
              <w:rPr>
                <w:rFonts w:hint="eastAsia" w:ascii="宋体" w:hAnsi="宋体" w:cs="Arial"/>
                <w:sz w:val="24"/>
              </w:rPr>
              <w:t>东北</w:t>
            </w:r>
          </w:p>
        </w:tc>
        <w:tc>
          <w:tcPr>
            <w:tcW w:w="4100" w:type="dxa"/>
            <w:vAlign w:val="center"/>
          </w:tcPr>
          <w:p w14:paraId="795B1DC9">
            <w:pPr>
              <w:jc w:val="center"/>
              <w:textAlignment w:val="center"/>
              <w:rPr>
                <w:rFonts w:hint="eastAsia" w:ascii="宋体" w:hAnsi="宋体" w:cs="Arial" w:eastAsiaTheme="minorEastAsia"/>
                <w:sz w:val="24"/>
                <w:lang w:val="en-US" w:eastAsia="zh-CN"/>
              </w:rPr>
            </w:pPr>
            <w:r>
              <w:rPr>
                <w:rFonts w:hint="eastAsia" w:ascii="宋体" w:hAnsi="宋体" w:cs="Arial"/>
                <w:sz w:val="24"/>
                <w:lang w:val="en-US" w:eastAsia="zh-CN"/>
              </w:rPr>
              <w:t>7</w:t>
            </w:r>
          </w:p>
        </w:tc>
      </w:tr>
      <w:tr w14:paraId="6DCFA2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100" w:type="dxa"/>
            <w:vAlign w:val="center"/>
          </w:tcPr>
          <w:p w14:paraId="0D66C5D3">
            <w:pPr>
              <w:jc w:val="center"/>
              <w:textAlignment w:val="center"/>
              <w:rPr>
                <w:rFonts w:ascii="宋体" w:hAnsi="宋体" w:cs="Arial"/>
                <w:sz w:val="24"/>
              </w:rPr>
            </w:pPr>
            <w:r>
              <w:rPr>
                <w:rFonts w:hint="eastAsia" w:ascii="宋体" w:hAnsi="宋体" w:cs="Arial"/>
                <w:sz w:val="24"/>
              </w:rPr>
              <w:t>港澳台</w:t>
            </w:r>
          </w:p>
        </w:tc>
        <w:tc>
          <w:tcPr>
            <w:tcW w:w="4100" w:type="dxa"/>
            <w:vAlign w:val="center"/>
          </w:tcPr>
          <w:p w14:paraId="3ABFDEB5">
            <w:pPr>
              <w:jc w:val="center"/>
              <w:textAlignment w:val="center"/>
              <w:rPr>
                <w:rFonts w:ascii="宋体" w:hAnsi="宋体" w:cs="Arial"/>
                <w:sz w:val="24"/>
              </w:rPr>
            </w:pPr>
            <w:r>
              <w:rPr>
                <w:rFonts w:hint="eastAsia" w:ascii="宋体" w:hAnsi="宋体" w:cs="Arial"/>
                <w:sz w:val="24"/>
              </w:rPr>
              <w:t>3</w:t>
            </w:r>
          </w:p>
        </w:tc>
      </w:tr>
      <w:tr w14:paraId="50F320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100" w:type="dxa"/>
            <w:vAlign w:val="center"/>
          </w:tcPr>
          <w:p w14:paraId="5191D73C">
            <w:pPr>
              <w:jc w:val="center"/>
              <w:textAlignment w:val="center"/>
              <w:rPr>
                <w:rFonts w:ascii="宋体" w:hAnsi="宋体" w:cs="Arial"/>
                <w:b/>
                <w:bCs/>
                <w:sz w:val="24"/>
              </w:rPr>
            </w:pPr>
            <w:r>
              <w:rPr>
                <w:rFonts w:hint="eastAsia" w:ascii="宋体" w:hAnsi="宋体" w:cs="Arial"/>
                <w:b/>
                <w:bCs/>
                <w:sz w:val="24"/>
              </w:rPr>
              <w:t>总计</w:t>
            </w:r>
          </w:p>
        </w:tc>
        <w:tc>
          <w:tcPr>
            <w:tcW w:w="4100" w:type="dxa"/>
            <w:vAlign w:val="center"/>
          </w:tcPr>
          <w:p w14:paraId="62FAF76E">
            <w:pPr>
              <w:jc w:val="center"/>
              <w:textAlignment w:val="center"/>
              <w:rPr>
                <w:rFonts w:hint="default" w:ascii="宋体" w:hAnsi="宋体" w:cs="Arial" w:eastAsiaTheme="minorEastAsia"/>
                <w:b/>
                <w:bCs/>
                <w:sz w:val="24"/>
                <w:lang w:val="en-US" w:eastAsia="zh-CN"/>
              </w:rPr>
            </w:pPr>
            <w:r>
              <w:rPr>
                <w:rFonts w:hint="eastAsia" w:ascii="宋体" w:hAnsi="宋体" w:cs="Arial"/>
                <w:b/>
                <w:bCs/>
                <w:sz w:val="24"/>
              </w:rPr>
              <w:t>1</w:t>
            </w:r>
            <w:r>
              <w:rPr>
                <w:rFonts w:hint="eastAsia" w:ascii="宋体" w:hAnsi="宋体" w:cs="Arial"/>
                <w:b/>
                <w:bCs/>
                <w:sz w:val="24"/>
                <w:lang w:val="en-US" w:eastAsia="zh-CN"/>
              </w:rPr>
              <w:t>72</w:t>
            </w:r>
          </w:p>
        </w:tc>
      </w:tr>
    </w:tbl>
    <w:p w14:paraId="1A36DEDC">
      <w:pPr>
        <w:spacing w:before="468" w:beforeLines="150" w:after="1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表二：用户院校类型分布</w:t>
      </w:r>
    </w:p>
    <w:tbl>
      <w:tblPr>
        <w:tblStyle w:val="5"/>
        <w:tblW w:w="8172" w:type="dxa"/>
        <w:tblInd w:w="28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086"/>
        <w:gridCol w:w="4086"/>
      </w:tblGrid>
      <w:tr w14:paraId="313903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4086" w:type="dxa"/>
            <w:shd w:val="clear" w:color="auto" w:fill="FFFF00"/>
            <w:vAlign w:val="center"/>
          </w:tcPr>
          <w:p w14:paraId="46105DC3">
            <w:pPr>
              <w:jc w:val="center"/>
              <w:textAlignment w:val="center"/>
              <w:rPr>
                <w:rFonts w:ascii="宋体" w:hAnsi="宋体" w:cs="Arial"/>
                <w:b/>
                <w:bCs/>
                <w:sz w:val="24"/>
              </w:rPr>
            </w:pPr>
            <w:r>
              <w:rPr>
                <w:rFonts w:hint="eastAsia" w:ascii="宋体" w:hAnsi="宋体" w:cs="Arial"/>
                <w:b/>
                <w:bCs/>
                <w:sz w:val="24"/>
              </w:rPr>
              <w:t>院校类型</w:t>
            </w:r>
          </w:p>
        </w:tc>
        <w:tc>
          <w:tcPr>
            <w:tcW w:w="4086" w:type="dxa"/>
            <w:shd w:val="clear" w:color="auto" w:fill="FFFF00"/>
            <w:vAlign w:val="center"/>
          </w:tcPr>
          <w:p w14:paraId="7CE9D262">
            <w:pPr>
              <w:jc w:val="center"/>
              <w:textAlignment w:val="center"/>
              <w:rPr>
                <w:rFonts w:ascii="宋体" w:hAnsi="宋体" w:cs="Arial"/>
                <w:b/>
                <w:bCs/>
                <w:sz w:val="24"/>
              </w:rPr>
            </w:pPr>
            <w:r>
              <w:rPr>
                <w:rFonts w:hint="eastAsia" w:ascii="宋体" w:hAnsi="宋体" w:cs="Arial"/>
                <w:b/>
                <w:bCs/>
                <w:sz w:val="24"/>
              </w:rPr>
              <w:t>用户院校（家）</w:t>
            </w:r>
          </w:p>
        </w:tc>
      </w:tr>
      <w:tr w14:paraId="76082B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4086" w:type="dxa"/>
            <w:vAlign w:val="center"/>
          </w:tcPr>
          <w:p w14:paraId="73583432">
            <w:pPr>
              <w:jc w:val="center"/>
              <w:textAlignment w:val="center"/>
              <w:rPr>
                <w:rFonts w:ascii="宋体" w:hAnsi="宋体" w:cs="Arial"/>
                <w:sz w:val="24"/>
              </w:rPr>
            </w:pPr>
            <w:r>
              <w:rPr>
                <w:rFonts w:hint="eastAsia" w:ascii="宋体" w:hAnsi="宋体" w:cs="Arial"/>
                <w:sz w:val="24"/>
              </w:rPr>
              <w:t>综合类</w:t>
            </w:r>
          </w:p>
        </w:tc>
        <w:tc>
          <w:tcPr>
            <w:tcW w:w="4086" w:type="dxa"/>
            <w:vAlign w:val="center"/>
          </w:tcPr>
          <w:p w14:paraId="19D75C99">
            <w:pPr>
              <w:jc w:val="center"/>
              <w:textAlignment w:val="center"/>
              <w:rPr>
                <w:rFonts w:hint="default" w:ascii="宋体" w:hAnsi="宋体" w:cs="Arial" w:eastAsiaTheme="minorEastAsia"/>
                <w:sz w:val="24"/>
                <w:lang w:val="en-US" w:eastAsia="zh-CN"/>
              </w:rPr>
            </w:pPr>
            <w:r>
              <w:rPr>
                <w:rFonts w:hint="eastAsia" w:ascii="宋体" w:hAnsi="宋体" w:cs="Arial"/>
                <w:sz w:val="24"/>
                <w:lang w:val="en-US" w:eastAsia="zh-CN"/>
              </w:rPr>
              <w:t>60</w:t>
            </w:r>
          </w:p>
        </w:tc>
      </w:tr>
      <w:tr w14:paraId="34BD08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4086" w:type="dxa"/>
            <w:vAlign w:val="center"/>
          </w:tcPr>
          <w:p w14:paraId="328A14D7">
            <w:pPr>
              <w:jc w:val="center"/>
              <w:textAlignment w:val="center"/>
              <w:rPr>
                <w:rFonts w:ascii="宋体" w:hAnsi="宋体" w:cs="Arial"/>
                <w:sz w:val="24"/>
              </w:rPr>
            </w:pPr>
            <w:r>
              <w:rPr>
                <w:rFonts w:hint="eastAsia" w:ascii="宋体" w:hAnsi="宋体" w:cs="Arial"/>
                <w:sz w:val="24"/>
              </w:rPr>
              <w:t>财经类</w:t>
            </w:r>
          </w:p>
        </w:tc>
        <w:tc>
          <w:tcPr>
            <w:tcW w:w="4086" w:type="dxa"/>
            <w:vAlign w:val="center"/>
          </w:tcPr>
          <w:p w14:paraId="764E4BC0">
            <w:pPr>
              <w:jc w:val="center"/>
              <w:textAlignment w:val="center"/>
              <w:rPr>
                <w:rFonts w:hint="default" w:ascii="宋体" w:hAnsi="宋体" w:cs="Arial" w:eastAsiaTheme="minorEastAsia"/>
                <w:sz w:val="24"/>
                <w:lang w:val="en-US" w:eastAsia="zh-CN"/>
              </w:rPr>
            </w:pPr>
            <w:r>
              <w:rPr>
                <w:rFonts w:hint="eastAsia" w:ascii="宋体" w:hAnsi="宋体" w:cs="Arial"/>
                <w:sz w:val="24"/>
                <w:lang w:val="en-US" w:eastAsia="zh-CN"/>
              </w:rPr>
              <w:t>32</w:t>
            </w:r>
          </w:p>
        </w:tc>
      </w:tr>
      <w:tr w14:paraId="79374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4086" w:type="dxa"/>
            <w:vAlign w:val="center"/>
          </w:tcPr>
          <w:p w14:paraId="52EF70E7">
            <w:pPr>
              <w:jc w:val="center"/>
              <w:textAlignment w:val="center"/>
              <w:rPr>
                <w:rFonts w:ascii="宋体" w:hAnsi="宋体" w:cs="Arial"/>
                <w:sz w:val="24"/>
              </w:rPr>
            </w:pPr>
            <w:r>
              <w:rPr>
                <w:rFonts w:hint="eastAsia" w:ascii="宋体" w:hAnsi="宋体" w:cs="Arial"/>
                <w:sz w:val="24"/>
              </w:rPr>
              <w:t>理工类</w:t>
            </w:r>
          </w:p>
        </w:tc>
        <w:tc>
          <w:tcPr>
            <w:tcW w:w="4086" w:type="dxa"/>
            <w:vAlign w:val="center"/>
          </w:tcPr>
          <w:p w14:paraId="46CB1D7E">
            <w:pPr>
              <w:jc w:val="center"/>
              <w:textAlignment w:val="center"/>
              <w:rPr>
                <w:rFonts w:hint="default" w:ascii="宋体" w:hAnsi="宋体" w:cs="Arial" w:eastAsiaTheme="minorEastAsia"/>
                <w:sz w:val="24"/>
                <w:lang w:val="en-US" w:eastAsia="zh-CN"/>
              </w:rPr>
            </w:pPr>
            <w:r>
              <w:rPr>
                <w:rFonts w:hint="eastAsia" w:ascii="宋体" w:hAnsi="宋体" w:cs="Arial"/>
                <w:sz w:val="24"/>
                <w:lang w:val="en-US" w:eastAsia="zh-CN"/>
              </w:rPr>
              <w:t>44</w:t>
            </w:r>
          </w:p>
        </w:tc>
      </w:tr>
      <w:tr w14:paraId="265B90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4086" w:type="dxa"/>
            <w:vAlign w:val="center"/>
          </w:tcPr>
          <w:p w14:paraId="57C0532C">
            <w:pPr>
              <w:jc w:val="center"/>
              <w:textAlignment w:val="center"/>
              <w:rPr>
                <w:rFonts w:ascii="宋体" w:hAnsi="宋体" w:cs="Arial"/>
                <w:sz w:val="24"/>
              </w:rPr>
            </w:pPr>
            <w:r>
              <w:rPr>
                <w:rFonts w:hint="eastAsia" w:ascii="宋体" w:hAnsi="宋体" w:cs="Arial"/>
                <w:sz w:val="24"/>
              </w:rPr>
              <w:t>师范类</w:t>
            </w:r>
          </w:p>
        </w:tc>
        <w:tc>
          <w:tcPr>
            <w:tcW w:w="4086" w:type="dxa"/>
            <w:vAlign w:val="center"/>
          </w:tcPr>
          <w:p w14:paraId="0843A69D">
            <w:pPr>
              <w:jc w:val="center"/>
              <w:textAlignment w:val="center"/>
              <w:rPr>
                <w:rFonts w:hint="eastAsia" w:ascii="宋体" w:hAnsi="宋体" w:cs="Arial" w:eastAsiaTheme="minorEastAsia"/>
                <w:sz w:val="24"/>
                <w:lang w:val="en-US" w:eastAsia="zh-CN"/>
              </w:rPr>
            </w:pPr>
            <w:r>
              <w:rPr>
                <w:rFonts w:hint="eastAsia" w:ascii="宋体" w:hAnsi="宋体" w:cs="Arial"/>
                <w:sz w:val="24"/>
              </w:rPr>
              <w:t>1</w:t>
            </w:r>
            <w:r>
              <w:rPr>
                <w:rFonts w:hint="eastAsia" w:ascii="宋体" w:hAnsi="宋体" w:cs="Arial"/>
                <w:sz w:val="24"/>
                <w:lang w:val="en-US" w:eastAsia="zh-CN"/>
              </w:rPr>
              <w:t>3</w:t>
            </w:r>
          </w:p>
        </w:tc>
      </w:tr>
      <w:tr w14:paraId="217BC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4086" w:type="dxa"/>
            <w:vAlign w:val="center"/>
          </w:tcPr>
          <w:p w14:paraId="21C46D6D">
            <w:pPr>
              <w:jc w:val="center"/>
              <w:textAlignment w:val="center"/>
              <w:rPr>
                <w:rFonts w:ascii="宋体" w:hAnsi="宋体" w:cs="Arial"/>
                <w:sz w:val="24"/>
              </w:rPr>
            </w:pPr>
            <w:r>
              <w:rPr>
                <w:rFonts w:hint="eastAsia" w:ascii="宋体" w:hAnsi="宋体" w:cs="Arial"/>
                <w:sz w:val="24"/>
              </w:rPr>
              <w:t>农林类</w:t>
            </w:r>
          </w:p>
        </w:tc>
        <w:tc>
          <w:tcPr>
            <w:tcW w:w="4086" w:type="dxa"/>
            <w:vAlign w:val="center"/>
          </w:tcPr>
          <w:p w14:paraId="07A6B509">
            <w:pPr>
              <w:jc w:val="center"/>
              <w:textAlignment w:val="center"/>
              <w:rPr>
                <w:rFonts w:ascii="宋体" w:hAnsi="宋体" w:cs="Arial"/>
                <w:sz w:val="24"/>
              </w:rPr>
            </w:pPr>
            <w:r>
              <w:rPr>
                <w:rFonts w:hint="eastAsia" w:ascii="宋体" w:hAnsi="宋体" w:cs="Arial"/>
                <w:sz w:val="24"/>
              </w:rPr>
              <w:t>5</w:t>
            </w:r>
          </w:p>
        </w:tc>
      </w:tr>
      <w:tr w14:paraId="0B691D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4086" w:type="dxa"/>
            <w:vAlign w:val="center"/>
          </w:tcPr>
          <w:p w14:paraId="24157B22">
            <w:pPr>
              <w:jc w:val="center"/>
              <w:textAlignment w:val="center"/>
              <w:rPr>
                <w:rFonts w:ascii="宋体" w:hAnsi="宋体" w:cs="Arial"/>
                <w:sz w:val="24"/>
              </w:rPr>
            </w:pPr>
            <w:r>
              <w:rPr>
                <w:rFonts w:hint="eastAsia" w:ascii="宋体" w:hAnsi="宋体" w:cs="Arial"/>
                <w:sz w:val="24"/>
              </w:rPr>
              <w:t>民族类</w:t>
            </w:r>
          </w:p>
        </w:tc>
        <w:tc>
          <w:tcPr>
            <w:tcW w:w="4086" w:type="dxa"/>
            <w:vAlign w:val="center"/>
          </w:tcPr>
          <w:p w14:paraId="67218145">
            <w:pPr>
              <w:jc w:val="center"/>
              <w:textAlignment w:val="center"/>
              <w:rPr>
                <w:rFonts w:hint="eastAsia" w:ascii="宋体" w:hAnsi="宋体" w:cs="Arial" w:eastAsiaTheme="minorEastAsia"/>
                <w:sz w:val="24"/>
                <w:lang w:val="en-US" w:eastAsia="zh-CN"/>
              </w:rPr>
            </w:pPr>
            <w:r>
              <w:rPr>
                <w:rFonts w:hint="eastAsia" w:ascii="宋体" w:hAnsi="宋体" w:cs="Arial"/>
                <w:sz w:val="24"/>
                <w:lang w:val="en-US" w:eastAsia="zh-CN"/>
              </w:rPr>
              <w:t>5</w:t>
            </w:r>
          </w:p>
        </w:tc>
      </w:tr>
      <w:tr w14:paraId="299D3B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4086" w:type="dxa"/>
            <w:vAlign w:val="center"/>
          </w:tcPr>
          <w:p w14:paraId="5AA013EC">
            <w:pPr>
              <w:jc w:val="center"/>
              <w:textAlignment w:val="center"/>
              <w:rPr>
                <w:rFonts w:ascii="宋体" w:hAnsi="宋体" w:cs="Arial"/>
                <w:sz w:val="24"/>
              </w:rPr>
            </w:pPr>
            <w:r>
              <w:rPr>
                <w:rFonts w:hint="eastAsia" w:ascii="宋体" w:hAnsi="宋体" w:cs="Arial"/>
                <w:sz w:val="24"/>
              </w:rPr>
              <w:t>其他专业类</w:t>
            </w:r>
          </w:p>
        </w:tc>
        <w:tc>
          <w:tcPr>
            <w:tcW w:w="4086" w:type="dxa"/>
            <w:vAlign w:val="center"/>
          </w:tcPr>
          <w:p w14:paraId="4A29332E">
            <w:pPr>
              <w:jc w:val="center"/>
              <w:textAlignment w:val="center"/>
              <w:rPr>
                <w:rFonts w:hint="default" w:ascii="宋体" w:hAnsi="宋体" w:cs="Arial" w:eastAsiaTheme="minorEastAsia"/>
                <w:sz w:val="24"/>
                <w:lang w:val="en-US" w:eastAsia="zh-CN"/>
              </w:rPr>
            </w:pPr>
            <w:r>
              <w:rPr>
                <w:rFonts w:hint="eastAsia" w:ascii="宋体" w:hAnsi="宋体" w:cs="Arial"/>
                <w:sz w:val="24"/>
                <w:lang w:val="en-US" w:eastAsia="zh-CN"/>
              </w:rPr>
              <w:t>13</w:t>
            </w:r>
          </w:p>
        </w:tc>
      </w:tr>
      <w:tr w14:paraId="39DAC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4086" w:type="dxa"/>
            <w:vAlign w:val="center"/>
          </w:tcPr>
          <w:p w14:paraId="1000D53A">
            <w:pPr>
              <w:jc w:val="center"/>
              <w:textAlignment w:val="center"/>
              <w:rPr>
                <w:rFonts w:ascii="宋体" w:hAnsi="宋体" w:cs="Arial"/>
                <w:b/>
                <w:bCs/>
                <w:sz w:val="24"/>
              </w:rPr>
            </w:pPr>
            <w:r>
              <w:rPr>
                <w:rFonts w:hint="eastAsia" w:ascii="宋体" w:hAnsi="宋体" w:cs="Arial"/>
                <w:b/>
                <w:bCs/>
                <w:sz w:val="24"/>
              </w:rPr>
              <w:t>总计</w:t>
            </w:r>
          </w:p>
        </w:tc>
        <w:tc>
          <w:tcPr>
            <w:tcW w:w="4086" w:type="dxa"/>
            <w:vAlign w:val="center"/>
          </w:tcPr>
          <w:p w14:paraId="0B00D43C">
            <w:pPr>
              <w:jc w:val="center"/>
              <w:textAlignment w:val="center"/>
              <w:rPr>
                <w:rFonts w:hint="default" w:ascii="宋体" w:hAnsi="宋体" w:cs="Arial" w:eastAsiaTheme="minorEastAsia"/>
                <w:b/>
                <w:bCs/>
                <w:sz w:val="24"/>
                <w:lang w:val="en-US" w:eastAsia="zh-CN"/>
              </w:rPr>
            </w:pPr>
            <w:r>
              <w:rPr>
                <w:rFonts w:hint="eastAsia" w:ascii="宋体" w:hAnsi="宋体" w:cs="Arial"/>
                <w:b/>
                <w:bCs/>
                <w:sz w:val="24"/>
              </w:rPr>
              <w:t>1</w:t>
            </w:r>
            <w:r>
              <w:rPr>
                <w:rFonts w:hint="eastAsia" w:ascii="宋体" w:hAnsi="宋体" w:cs="Arial"/>
                <w:b/>
                <w:bCs/>
                <w:sz w:val="24"/>
                <w:lang w:val="en-US" w:eastAsia="zh-CN"/>
              </w:rPr>
              <w:t>72</w:t>
            </w:r>
          </w:p>
        </w:tc>
      </w:tr>
    </w:tbl>
    <w:p w14:paraId="18A5165E">
      <w:pPr>
        <w:spacing w:before="468" w:beforeLines="150" w:after="156" w:afterLines="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表三：用户院校办学质量汇总</w:t>
      </w:r>
    </w:p>
    <w:tbl>
      <w:tblPr>
        <w:tblStyle w:val="5"/>
        <w:tblW w:w="8144" w:type="dxa"/>
        <w:tblInd w:w="28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36"/>
        <w:gridCol w:w="2036"/>
        <w:gridCol w:w="2036"/>
        <w:gridCol w:w="2036"/>
      </w:tblGrid>
      <w:tr w14:paraId="27F6F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036" w:type="dxa"/>
            <w:shd w:val="clear" w:color="auto" w:fill="FFFF00"/>
            <w:vAlign w:val="center"/>
          </w:tcPr>
          <w:p w14:paraId="1057DF14">
            <w:pPr>
              <w:jc w:val="center"/>
              <w:textAlignment w:val="center"/>
              <w:rPr>
                <w:rFonts w:ascii="宋体" w:hAnsi="宋体" w:cs="Arial"/>
                <w:b/>
                <w:bCs/>
                <w:sz w:val="24"/>
              </w:rPr>
            </w:pPr>
            <w:r>
              <w:rPr>
                <w:rFonts w:hint="eastAsia" w:ascii="宋体" w:hAnsi="宋体" w:cs="Arial"/>
                <w:b/>
                <w:bCs/>
                <w:sz w:val="24"/>
              </w:rPr>
              <w:t>指标</w:t>
            </w:r>
          </w:p>
        </w:tc>
        <w:tc>
          <w:tcPr>
            <w:tcW w:w="2036" w:type="dxa"/>
            <w:shd w:val="clear" w:color="auto" w:fill="FFFF00"/>
          </w:tcPr>
          <w:p w14:paraId="1615CE52">
            <w:pPr>
              <w:jc w:val="center"/>
              <w:textAlignment w:val="center"/>
              <w:rPr>
                <w:rFonts w:ascii="宋体" w:hAnsi="宋体" w:cs="Arial"/>
                <w:b/>
                <w:bCs/>
                <w:sz w:val="24"/>
              </w:rPr>
            </w:pPr>
            <w:r>
              <w:rPr>
                <w:rFonts w:hint="eastAsia" w:ascii="宋体" w:hAnsi="宋体" w:cs="Arial"/>
                <w:b/>
                <w:bCs/>
                <w:sz w:val="24"/>
              </w:rPr>
              <w:t>全国院校（家）</w:t>
            </w:r>
          </w:p>
        </w:tc>
        <w:tc>
          <w:tcPr>
            <w:tcW w:w="2036" w:type="dxa"/>
            <w:shd w:val="clear" w:color="auto" w:fill="FFFF00"/>
          </w:tcPr>
          <w:p w14:paraId="5D98E146">
            <w:pPr>
              <w:jc w:val="center"/>
              <w:textAlignment w:val="center"/>
              <w:rPr>
                <w:rFonts w:ascii="宋体" w:hAnsi="宋体" w:cs="Arial"/>
                <w:b/>
                <w:bCs/>
                <w:sz w:val="24"/>
              </w:rPr>
            </w:pPr>
            <w:r>
              <w:rPr>
                <w:rFonts w:hint="eastAsia" w:ascii="宋体" w:hAnsi="宋体" w:cs="Arial"/>
                <w:b/>
                <w:bCs/>
                <w:sz w:val="24"/>
              </w:rPr>
              <w:t>用户院校（家）</w:t>
            </w:r>
          </w:p>
        </w:tc>
        <w:tc>
          <w:tcPr>
            <w:tcW w:w="2036" w:type="dxa"/>
            <w:shd w:val="clear" w:color="auto" w:fill="FFFF00"/>
            <w:vAlign w:val="center"/>
          </w:tcPr>
          <w:p w14:paraId="4D073131">
            <w:pPr>
              <w:jc w:val="center"/>
              <w:textAlignment w:val="center"/>
              <w:rPr>
                <w:rFonts w:ascii="宋体" w:hAnsi="宋体" w:cs="Arial"/>
                <w:b/>
                <w:bCs/>
                <w:sz w:val="24"/>
              </w:rPr>
            </w:pPr>
            <w:r>
              <w:rPr>
                <w:rFonts w:hint="eastAsia" w:ascii="宋体" w:hAnsi="宋体" w:cs="Arial"/>
                <w:b/>
                <w:bCs/>
                <w:sz w:val="24"/>
              </w:rPr>
              <w:t>全国占比</w:t>
            </w:r>
          </w:p>
        </w:tc>
      </w:tr>
      <w:tr w14:paraId="0B1EC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036" w:type="dxa"/>
            <w:vAlign w:val="center"/>
          </w:tcPr>
          <w:p w14:paraId="490111D8">
            <w:pPr>
              <w:jc w:val="center"/>
              <w:textAlignment w:val="center"/>
              <w:rPr>
                <w:rFonts w:ascii="宋体" w:hAnsi="宋体" w:cs="Arial"/>
                <w:sz w:val="24"/>
              </w:rPr>
            </w:pPr>
            <w:r>
              <w:rPr>
                <w:rFonts w:hint="eastAsia" w:ascii="宋体" w:hAnsi="宋体" w:cs="Arial"/>
                <w:sz w:val="24"/>
              </w:rPr>
              <w:t>C9</w:t>
            </w:r>
          </w:p>
        </w:tc>
        <w:tc>
          <w:tcPr>
            <w:tcW w:w="2036" w:type="dxa"/>
          </w:tcPr>
          <w:p w14:paraId="49167737">
            <w:pPr>
              <w:jc w:val="center"/>
              <w:textAlignment w:val="center"/>
              <w:rPr>
                <w:rFonts w:ascii="宋体" w:hAnsi="宋体" w:cs="Arial"/>
                <w:sz w:val="24"/>
              </w:rPr>
            </w:pPr>
            <w:r>
              <w:rPr>
                <w:rFonts w:hint="eastAsia" w:ascii="宋体" w:hAnsi="宋体" w:cs="Arial"/>
                <w:sz w:val="24"/>
              </w:rPr>
              <w:t>9</w:t>
            </w:r>
          </w:p>
        </w:tc>
        <w:tc>
          <w:tcPr>
            <w:tcW w:w="2036" w:type="dxa"/>
          </w:tcPr>
          <w:p w14:paraId="7DE85A75">
            <w:pPr>
              <w:jc w:val="center"/>
              <w:textAlignment w:val="center"/>
              <w:rPr>
                <w:rFonts w:ascii="宋体" w:hAnsi="宋体" w:cs="Arial"/>
                <w:sz w:val="24"/>
              </w:rPr>
            </w:pPr>
            <w:r>
              <w:rPr>
                <w:rFonts w:hint="eastAsia" w:ascii="宋体" w:hAnsi="宋体" w:cs="Arial"/>
                <w:sz w:val="24"/>
              </w:rPr>
              <w:t>8</w:t>
            </w:r>
          </w:p>
        </w:tc>
        <w:tc>
          <w:tcPr>
            <w:tcW w:w="2036" w:type="dxa"/>
            <w:vAlign w:val="center"/>
          </w:tcPr>
          <w:p w14:paraId="55E346C5">
            <w:pPr>
              <w:jc w:val="center"/>
              <w:textAlignment w:val="center"/>
              <w:rPr>
                <w:rFonts w:ascii="宋体" w:hAnsi="宋体" w:cs="Arial"/>
                <w:b/>
                <w:bCs/>
                <w:color w:val="C00000"/>
                <w:sz w:val="24"/>
              </w:rPr>
            </w:pPr>
            <w:r>
              <w:rPr>
                <w:rFonts w:hint="eastAsia" w:ascii="宋体" w:hAnsi="宋体" w:cs="Arial"/>
                <w:b/>
                <w:bCs/>
                <w:color w:val="C00000"/>
                <w:sz w:val="24"/>
              </w:rPr>
              <w:t>89%</w:t>
            </w:r>
          </w:p>
        </w:tc>
      </w:tr>
      <w:tr w14:paraId="52CCA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036" w:type="dxa"/>
            <w:vAlign w:val="center"/>
          </w:tcPr>
          <w:p w14:paraId="37E8DE62">
            <w:pPr>
              <w:jc w:val="center"/>
              <w:textAlignment w:val="center"/>
              <w:rPr>
                <w:rFonts w:ascii="宋体" w:hAnsi="宋体" w:cs="Arial"/>
                <w:sz w:val="24"/>
              </w:rPr>
            </w:pPr>
            <w:r>
              <w:rPr>
                <w:rFonts w:hint="eastAsia" w:ascii="宋体" w:hAnsi="宋体" w:cs="Arial"/>
                <w:sz w:val="24"/>
              </w:rPr>
              <w:t>985</w:t>
            </w:r>
          </w:p>
        </w:tc>
        <w:tc>
          <w:tcPr>
            <w:tcW w:w="2036" w:type="dxa"/>
          </w:tcPr>
          <w:p w14:paraId="7BA839C7">
            <w:pPr>
              <w:jc w:val="center"/>
              <w:textAlignment w:val="center"/>
              <w:rPr>
                <w:rFonts w:ascii="宋体" w:hAnsi="宋体" w:cs="Arial"/>
                <w:sz w:val="24"/>
              </w:rPr>
            </w:pPr>
            <w:r>
              <w:rPr>
                <w:rFonts w:hint="eastAsia" w:ascii="宋体" w:hAnsi="宋体" w:cs="Arial"/>
                <w:sz w:val="24"/>
              </w:rPr>
              <w:t>39</w:t>
            </w:r>
          </w:p>
        </w:tc>
        <w:tc>
          <w:tcPr>
            <w:tcW w:w="2036" w:type="dxa"/>
          </w:tcPr>
          <w:p w14:paraId="7FBD81DF">
            <w:pPr>
              <w:jc w:val="center"/>
              <w:textAlignment w:val="center"/>
              <w:rPr>
                <w:rFonts w:hint="default" w:ascii="宋体" w:hAnsi="宋体" w:cs="Arial" w:eastAsiaTheme="minorEastAsia"/>
                <w:sz w:val="24"/>
                <w:lang w:val="en-US" w:eastAsia="zh-CN"/>
              </w:rPr>
            </w:pPr>
            <w:r>
              <w:rPr>
                <w:rFonts w:hint="eastAsia" w:ascii="宋体" w:hAnsi="宋体" w:cs="Arial"/>
                <w:sz w:val="24"/>
                <w:lang w:val="en-US" w:eastAsia="zh-CN"/>
              </w:rPr>
              <w:t>31</w:t>
            </w:r>
          </w:p>
        </w:tc>
        <w:tc>
          <w:tcPr>
            <w:tcW w:w="2036" w:type="dxa"/>
            <w:vAlign w:val="center"/>
          </w:tcPr>
          <w:p w14:paraId="242C4E83">
            <w:pPr>
              <w:jc w:val="center"/>
              <w:textAlignment w:val="center"/>
              <w:rPr>
                <w:rFonts w:ascii="宋体" w:hAnsi="宋体" w:cs="Arial"/>
                <w:b/>
                <w:bCs/>
                <w:color w:val="C00000"/>
                <w:sz w:val="24"/>
              </w:rPr>
            </w:pPr>
            <w:r>
              <w:rPr>
                <w:rFonts w:hint="eastAsia" w:ascii="宋体" w:hAnsi="宋体" w:cs="Arial"/>
                <w:b/>
                <w:bCs/>
                <w:color w:val="C00000"/>
                <w:sz w:val="24"/>
                <w:lang w:val="en-US" w:eastAsia="zh-CN"/>
              </w:rPr>
              <w:t>80</w:t>
            </w:r>
            <w:r>
              <w:rPr>
                <w:rFonts w:hint="eastAsia" w:ascii="宋体" w:hAnsi="宋体" w:cs="Arial"/>
                <w:b/>
                <w:bCs/>
                <w:color w:val="C00000"/>
                <w:sz w:val="24"/>
              </w:rPr>
              <w:t>%</w:t>
            </w:r>
          </w:p>
        </w:tc>
      </w:tr>
      <w:tr w14:paraId="6263A4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036" w:type="dxa"/>
            <w:vAlign w:val="center"/>
          </w:tcPr>
          <w:p w14:paraId="5FA856B2">
            <w:pPr>
              <w:jc w:val="center"/>
              <w:textAlignment w:val="center"/>
              <w:rPr>
                <w:rFonts w:hint="default" w:ascii="宋体" w:hAnsi="宋体" w:cs="Arial" w:eastAsiaTheme="minorEastAsia"/>
                <w:sz w:val="24"/>
                <w:lang w:val="en-US" w:eastAsia="zh-CN"/>
              </w:rPr>
            </w:pPr>
            <w:r>
              <w:rPr>
                <w:rFonts w:hint="eastAsia" w:ascii="宋体" w:hAnsi="宋体" w:cs="Arial"/>
                <w:sz w:val="24"/>
                <w:lang w:val="en-US" w:eastAsia="zh-CN"/>
              </w:rPr>
              <w:t>211</w:t>
            </w:r>
          </w:p>
        </w:tc>
        <w:tc>
          <w:tcPr>
            <w:tcW w:w="2036" w:type="dxa"/>
          </w:tcPr>
          <w:p w14:paraId="176EB8AC">
            <w:pPr>
              <w:jc w:val="center"/>
              <w:textAlignment w:val="center"/>
              <w:rPr>
                <w:rFonts w:hint="default" w:ascii="宋体" w:hAnsi="宋体" w:cs="Arial" w:eastAsiaTheme="minorEastAsia"/>
                <w:sz w:val="24"/>
                <w:lang w:val="en-US" w:eastAsia="zh-CN"/>
              </w:rPr>
            </w:pPr>
            <w:r>
              <w:rPr>
                <w:rFonts w:hint="eastAsia" w:ascii="宋体" w:hAnsi="宋体" w:cs="Arial"/>
                <w:sz w:val="24"/>
                <w:lang w:val="en-US" w:eastAsia="zh-CN"/>
              </w:rPr>
              <w:t>115</w:t>
            </w:r>
          </w:p>
        </w:tc>
        <w:tc>
          <w:tcPr>
            <w:tcW w:w="2036" w:type="dxa"/>
          </w:tcPr>
          <w:p w14:paraId="4E06ABCB">
            <w:pPr>
              <w:jc w:val="center"/>
              <w:textAlignment w:val="center"/>
              <w:rPr>
                <w:rFonts w:hint="default" w:ascii="宋体" w:hAnsi="宋体" w:cs="Arial"/>
                <w:sz w:val="24"/>
                <w:lang w:val="en-US" w:eastAsia="zh-CN"/>
              </w:rPr>
            </w:pPr>
            <w:r>
              <w:rPr>
                <w:rFonts w:hint="eastAsia" w:ascii="宋体" w:hAnsi="宋体" w:cs="Arial"/>
                <w:sz w:val="24"/>
                <w:lang w:val="en-US" w:eastAsia="zh-CN"/>
              </w:rPr>
              <w:t>71</w:t>
            </w:r>
          </w:p>
        </w:tc>
        <w:tc>
          <w:tcPr>
            <w:tcW w:w="2036" w:type="dxa"/>
            <w:vAlign w:val="center"/>
          </w:tcPr>
          <w:p w14:paraId="7EACF90A">
            <w:pPr>
              <w:jc w:val="center"/>
              <w:textAlignment w:val="center"/>
              <w:rPr>
                <w:rFonts w:hint="eastAsia" w:ascii="宋体" w:hAnsi="宋体" w:cs="Arial"/>
                <w:b/>
                <w:bCs/>
                <w:color w:val="C00000"/>
                <w:sz w:val="24"/>
              </w:rPr>
            </w:pPr>
            <w:r>
              <w:rPr>
                <w:rFonts w:hint="eastAsia" w:ascii="宋体" w:hAnsi="宋体" w:cs="Arial"/>
                <w:b/>
                <w:bCs/>
                <w:color w:val="C00000"/>
                <w:sz w:val="24"/>
                <w:lang w:val="en-US" w:eastAsia="zh-CN"/>
              </w:rPr>
              <w:t>62</w:t>
            </w:r>
            <w:r>
              <w:rPr>
                <w:rFonts w:hint="eastAsia" w:ascii="宋体" w:hAnsi="宋体" w:cs="Arial"/>
                <w:b/>
                <w:bCs/>
                <w:color w:val="C00000"/>
                <w:sz w:val="24"/>
              </w:rPr>
              <w:t>%</w:t>
            </w:r>
          </w:p>
        </w:tc>
      </w:tr>
      <w:tr w14:paraId="329B15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036" w:type="dxa"/>
            <w:vAlign w:val="center"/>
          </w:tcPr>
          <w:p w14:paraId="111079BF">
            <w:pPr>
              <w:jc w:val="center"/>
              <w:textAlignment w:val="center"/>
              <w:rPr>
                <w:rFonts w:ascii="宋体" w:hAnsi="宋体" w:cs="Arial"/>
                <w:sz w:val="24"/>
              </w:rPr>
            </w:pPr>
            <w:r>
              <w:rPr>
                <w:rFonts w:hint="eastAsia" w:ascii="宋体" w:hAnsi="宋体" w:cs="Arial"/>
                <w:sz w:val="24"/>
              </w:rPr>
              <w:t>AACSB</w:t>
            </w:r>
          </w:p>
        </w:tc>
        <w:tc>
          <w:tcPr>
            <w:tcW w:w="2036" w:type="dxa"/>
          </w:tcPr>
          <w:p w14:paraId="401B5799">
            <w:pPr>
              <w:jc w:val="center"/>
              <w:textAlignment w:val="center"/>
              <w:rPr>
                <w:rFonts w:hint="eastAsia" w:ascii="宋体" w:hAnsi="宋体" w:cs="Arial" w:eastAsiaTheme="minorEastAsia"/>
                <w:sz w:val="24"/>
                <w:lang w:val="en-US" w:eastAsia="zh-CN"/>
              </w:rPr>
            </w:pPr>
            <w:r>
              <w:rPr>
                <w:rFonts w:hint="eastAsia" w:ascii="宋体" w:hAnsi="宋体" w:cs="Arial"/>
                <w:sz w:val="24"/>
              </w:rPr>
              <w:t>5</w:t>
            </w:r>
            <w:r>
              <w:rPr>
                <w:rFonts w:hint="eastAsia" w:ascii="宋体" w:hAnsi="宋体" w:cs="Arial"/>
                <w:sz w:val="24"/>
                <w:lang w:val="en-US" w:eastAsia="zh-CN"/>
              </w:rPr>
              <w:t>2</w:t>
            </w:r>
          </w:p>
        </w:tc>
        <w:tc>
          <w:tcPr>
            <w:tcW w:w="2036" w:type="dxa"/>
          </w:tcPr>
          <w:p w14:paraId="73FC5FCC">
            <w:pPr>
              <w:jc w:val="center"/>
              <w:textAlignment w:val="center"/>
              <w:rPr>
                <w:rFonts w:hint="eastAsia" w:ascii="宋体" w:hAnsi="宋体" w:cs="Arial" w:eastAsiaTheme="minorEastAsia"/>
                <w:sz w:val="24"/>
                <w:lang w:val="en-US" w:eastAsia="zh-CN"/>
              </w:rPr>
            </w:pPr>
            <w:r>
              <w:rPr>
                <w:rFonts w:hint="eastAsia" w:ascii="宋体" w:hAnsi="宋体" w:cs="Arial"/>
                <w:sz w:val="24"/>
              </w:rPr>
              <w:t>4</w:t>
            </w:r>
            <w:r>
              <w:rPr>
                <w:rFonts w:hint="eastAsia" w:ascii="宋体" w:hAnsi="宋体" w:cs="Arial"/>
                <w:sz w:val="24"/>
                <w:lang w:val="en-US" w:eastAsia="zh-CN"/>
              </w:rPr>
              <w:t>5</w:t>
            </w:r>
          </w:p>
        </w:tc>
        <w:tc>
          <w:tcPr>
            <w:tcW w:w="2036" w:type="dxa"/>
            <w:vAlign w:val="center"/>
          </w:tcPr>
          <w:p w14:paraId="33F3FF6F">
            <w:pPr>
              <w:jc w:val="center"/>
              <w:textAlignment w:val="center"/>
              <w:rPr>
                <w:rFonts w:ascii="宋体" w:hAnsi="宋体" w:cs="Arial"/>
                <w:b/>
                <w:bCs/>
                <w:color w:val="C00000"/>
                <w:sz w:val="24"/>
              </w:rPr>
            </w:pPr>
            <w:r>
              <w:rPr>
                <w:rFonts w:hint="eastAsia" w:ascii="宋体" w:hAnsi="宋体" w:cs="Arial"/>
                <w:b/>
                <w:bCs/>
                <w:color w:val="C00000"/>
                <w:sz w:val="24"/>
              </w:rPr>
              <w:t>8</w:t>
            </w:r>
            <w:r>
              <w:rPr>
                <w:rFonts w:hint="eastAsia" w:ascii="宋体" w:hAnsi="宋体" w:cs="Arial"/>
                <w:b/>
                <w:bCs/>
                <w:color w:val="C00000"/>
                <w:sz w:val="24"/>
                <w:lang w:val="en-US" w:eastAsia="zh-CN"/>
              </w:rPr>
              <w:t>7</w:t>
            </w:r>
            <w:r>
              <w:rPr>
                <w:rFonts w:hint="eastAsia" w:ascii="宋体" w:hAnsi="宋体" w:cs="Arial"/>
                <w:b/>
                <w:bCs/>
                <w:color w:val="C00000"/>
                <w:sz w:val="24"/>
              </w:rPr>
              <w:t>%</w:t>
            </w:r>
          </w:p>
        </w:tc>
      </w:tr>
      <w:tr w14:paraId="4AB74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036" w:type="dxa"/>
            <w:vAlign w:val="center"/>
          </w:tcPr>
          <w:p w14:paraId="0297707D">
            <w:pPr>
              <w:jc w:val="center"/>
              <w:textAlignment w:val="center"/>
              <w:rPr>
                <w:rFonts w:ascii="宋体" w:hAnsi="宋体" w:cs="Arial"/>
                <w:sz w:val="24"/>
              </w:rPr>
            </w:pPr>
            <w:r>
              <w:rPr>
                <w:rFonts w:hint="eastAsia" w:ascii="宋体" w:hAnsi="宋体" w:cs="Arial"/>
                <w:sz w:val="24"/>
              </w:rPr>
              <w:t>EQUIS</w:t>
            </w:r>
          </w:p>
        </w:tc>
        <w:tc>
          <w:tcPr>
            <w:tcW w:w="2036" w:type="dxa"/>
          </w:tcPr>
          <w:p w14:paraId="06C314D9">
            <w:pPr>
              <w:jc w:val="center"/>
              <w:textAlignment w:val="center"/>
              <w:rPr>
                <w:rFonts w:hint="default" w:ascii="宋体" w:hAnsi="宋体" w:cs="Arial" w:eastAsiaTheme="minorEastAsia"/>
                <w:sz w:val="24"/>
                <w:lang w:val="en-US" w:eastAsia="zh-CN"/>
              </w:rPr>
            </w:pPr>
            <w:r>
              <w:rPr>
                <w:rFonts w:hint="eastAsia" w:ascii="宋体" w:hAnsi="宋体" w:cs="Arial"/>
                <w:sz w:val="24"/>
                <w:lang w:val="en-US" w:eastAsia="zh-CN"/>
              </w:rPr>
              <w:t>31</w:t>
            </w:r>
          </w:p>
        </w:tc>
        <w:tc>
          <w:tcPr>
            <w:tcW w:w="2036" w:type="dxa"/>
          </w:tcPr>
          <w:p w14:paraId="05038D79">
            <w:pPr>
              <w:jc w:val="center"/>
              <w:textAlignment w:val="center"/>
              <w:rPr>
                <w:rFonts w:hint="default" w:ascii="宋体" w:hAnsi="宋体" w:cs="Arial" w:eastAsiaTheme="minorEastAsia"/>
                <w:sz w:val="24"/>
                <w:lang w:val="en-US" w:eastAsia="zh-CN"/>
              </w:rPr>
            </w:pPr>
            <w:r>
              <w:rPr>
                <w:rFonts w:hint="eastAsia" w:ascii="宋体" w:hAnsi="宋体" w:cs="Arial"/>
                <w:sz w:val="24"/>
                <w:lang w:val="en-US" w:eastAsia="zh-CN"/>
              </w:rPr>
              <w:t>21</w:t>
            </w:r>
          </w:p>
        </w:tc>
        <w:tc>
          <w:tcPr>
            <w:tcW w:w="2036" w:type="dxa"/>
            <w:vAlign w:val="center"/>
          </w:tcPr>
          <w:p w14:paraId="74570DBF">
            <w:pPr>
              <w:jc w:val="center"/>
              <w:textAlignment w:val="center"/>
              <w:rPr>
                <w:rFonts w:ascii="宋体" w:hAnsi="宋体" w:cs="Arial"/>
                <w:b/>
                <w:bCs/>
                <w:color w:val="C00000"/>
                <w:sz w:val="24"/>
              </w:rPr>
            </w:pPr>
            <w:r>
              <w:rPr>
                <w:rFonts w:hint="eastAsia" w:ascii="宋体" w:hAnsi="宋体" w:cs="Arial"/>
                <w:b/>
                <w:bCs/>
                <w:color w:val="C00000"/>
                <w:sz w:val="24"/>
              </w:rPr>
              <w:t>6</w:t>
            </w:r>
            <w:r>
              <w:rPr>
                <w:rFonts w:hint="eastAsia" w:ascii="宋体" w:hAnsi="宋体" w:cs="Arial"/>
                <w:b/>
                <w:bCs/>
                <w:color w:val="C00000"/>
                <w:sz w:val="24"/>
                <w:lang w:val="en-US" w:eastAsia="zh-CN"/>
              </w:rPr>
              <w:t>8</w:t>
            </w:r>
            <w:r>
              <w:rPr>
                <w:rFonts w:hint="eastAsia" w:ascii="宋体" w:hAnsi="宋体" w:cs="Arial"/>
                <w:b/>
                <w:bCs/>
                <w:color w:val="C00000"/>
                <w:sz w:val="24"/>
              </w:rPr>
              <w:t>%</w:t>
            </w:r>
          </w:p>
        </w:tc>
      </w:tr>
      <w:tr w14:paraId="51FC36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036" w:type="dxa"/>
            <w:vAlign w:val="center"/>
          </w:tcPr>
          <w:p w14:paraId="75654EC8">
            <w:pPr>
              <w:jc w:val="center"/>
              <w:textAlignment w:val="center"/>
              <w:rPr>
                <w:rFonts w:ascii="宋体" w:hAnsi="宋体" w:cs="Arial"/>
                <w:sz w:val="24"/>
              </w:rPr>
            </w:pPr>
            <w:r>
              <w:rPr>
                <w:rFonts w:hint="eastAsia" w:ascii="宋体" w:hAnsi="宋体" w:cs="Arial"/>
                <w:sz w:val="24"/>
              </w:rPr>
              <w:t>AMBA</w:t>
            </w:r>
          </w:p>
        </w:tc>
        <w:tc>
          <w:tcPr>
            <w:tcW w:w="2036" w:type="dxa"/>
          </w:tcPr>
          <w:p w14:paraId="4A8C3BE7">
            <w:pPr>
              <w:jc w:val="center"/>
              <w:textAlignment w:val="center"/>
              <w:rPr>
                <w:rFonts w:ascii="宋体" w:hAnsi="宋体" w:cs="Arial"/>
                <w:sz w:val="24"/>
              </w:rPr>
            </w:pPr>
            <w:r>
              <w:rPr>
                <w:rFonts w:hint="eastAsia" w:ascii="宋体" w:hAnsi="宋体" w:cs="Arial"/>
                <w:sz w:val="24"/>
              </w:rPr>
              <w:t>41</w:t>
            </w:r>
          </w:p>
        </w:tc>
        <w:tc>
          <w:tcPr>
            <w:tcW w:w="2036" w:type="dxa"/>
          </w:tcPr>
          <w:p w14:paraId="00E2E078">
            <w:pPr>
              <w:jc w:val="center"/>
              <w:textAlignment w:val="center"/>
              <w:rPr>
                <w:rFonts w:hint="eastAsia" w:ascii="宋体" w:hAnsi="宋体" w:cs="Arial" w:eastAsiaTheme="minorEastAsia"/>
                <w:sz w:val="24"/>
                <w:lang w:val="en-US" w:eastAsia="zh-CN"/>
              </w:rPr>
            </w:pPr>
            <w:r>
              <w:rPr>
                <w:rFonts w:hint="eastAsia" w:ascii="宋体" w:hAnsi="宋体" w:cs="Arial"/>
                <w:sz w:val="24"/>
              </w:rPr>
              <w:t>3</w:t>
            </w:r>
            <w:r>
              <w:rPr>
                <w:rFonts w:hint="eastAsia" w:ascii="宋体" w:hAnsi="宋体" w:cs="Arial"/>
                <w:sz w:val="24"/>
                <w:lang w:val="en-US" w:eastAsia="zh-CN"/>
              </w:rPr>
              <w:t>5</w:t>
            </w:r>
          </w:p>
        </w:tc>
        <w:tc>
          <w:tcPr>
            <w:tcW w:w="2036" w:type="dxa"/>
            <w:vAlign w:val="center"/>
          </w:tcPr>
          <w:p w14:paraId="1AC9FD04">
            <w:pPr>
              <w:jc w:val="center"/>
              <w:textAlignment w:val="center"/>
              <w:rPr>
                <w:rFonts w:ascii="宋体" w:hAnsi="宋体" w:cs="Arial"/>
                <w:b/>
                <w:bCs/>
                <w:color w:val="C00000"/>
                <w:sz w:val="24"/>
              </w:rPr>
            </w:pPr>
            <w:r>
              <w:rPr>
                <w:rFonts w:hint="eastAsia" w:ascii="宋体" w:hAnsi="宋体" w:cs="Arial"/>
                <w:b/>
                <w:bCs/>
                <w:color w:val="C00000"/>
                <w:sz w:val="24"/>
              </w:rPr>
              <w:t>8</w:t>
            </w:r>
            <w:r>
              <w:rPr>
                <w:rFonts w:hint="eastAsia" w:ascii="宋体" w:hAnsi="宋体" w:cs="Arial"/>
                <w:b/>
                <w:bCs/>
                <w:color w:val="C00000"/>
                <w:sz w:val="24"/>
                <w:lang w:val="en-US" w:eastAsia="zh-CN"/>
              </w:rPr>
              <w:t>5</w:t>
            </w:r>
            <w:r>
              <w:rPr>
                <w:rFonts w:hint="eastAsia" w:ascii="宋体" w:hAnsi="宋体" w:cs="Arial"/>
                <w:b/>
                <w:bCs/>
                <w:color w:val="C00000"/>
                <w:sz w:val="24"/>
              </w:rPr>
              <w:t>%</w:t>
            </w:r>
          </w:p>
        </w:tc>
      </w:tr>
      <w:bookmarkEnd w:id="0"/>
    </w:tbl>
    <w:p w14:paraId="01E24A73">
      <w:pPr>
        <w:widowControl/>
        <w:spacing w:after="160" w:line="259" w:lineRule="auto"/>
        <w:rPr>
          <w:rFonts w:hint="eastAsia" w:ascii="宋体" w:hAnsi="宋体"/>
          <w:b/>
          <w:sz w:val="28"/>
          <w:szCs w:val="20"/>
          <w:lang w:val="en-US" w:eastAsia="zh-CN"/>
        </w:rPr>
      </w:pPr>
      <w:r>
        <w:rPr>
          <w:rFonts w:hint="eastAsia" w:ascii="宋体" w:hAnsi="宋体"/>
          <w:b/>
          <w:sz w:val="28"/>
          <w:szCs w:val="20"/>
          <w:lang w:val="en-US" w:eastAsia="zh-CN"/>
        </w:rPr>
        <w:t>附件6. 中国工商管理国际案例库代理销售授权书</w:t>
      </w:r>
    </w:p>
    <w:p w14:paraId="45666821">
      <w:pPr>
        <w:widowControl/>
        <w:spacing w:after="160" w:line="259" w:lineRule="auto"/>
        <w:rPr>
          <w:rFonts w:hint="default" w:ascii="宋体" w:hAnsi="宋体"/>
          <w:b/>
          <w:sz w:val="28"/>
          <w:szCs w:val="20"/>
          <w:lang w:val="en-US" w:eastAsia="zh-CN"/>
        </w:rPr>
      </w:pPr>
      <w:r>
        <w:rPr>
          <w:rFonts w:hint="eastAsia" w:ascii="宋体" w:hAnsi="宋体"/>
          <w:b/>
          <w:sz w:val="28"/>
          <w:szCs w:val="20"/>
          <w:lang w:val="en-US" w:eastAsia="zh-CN"/>
        </w:rPr>
        <w:drawing>
          <wp:inline distT="0" distB="0" distL="114300" distR="114300">
            <wp:extent cx="5269865" cy="7400925"/>
            <wp:effectExtent l="0" t="0" r="6985" b="0"/>
            <wp:docPr id="1" name="图片 1" descr="5da422e9-d655-47f7-be60-643e05533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da422e9-d655-47f7-be60-643e05533be3"/>
                    <pic:cNvPicPr>
                      <a:picLocks noChangeAspect="1"/>
                    </pic:cNvPicPr>
                  </pic:nvPicPr>
                  <pic:blipFill>
                    <a:blip r:embed="rId9"/>
                    <a:stretch>
                      <a:fillRect/>
                    </a:stretch>
                  </pic:blipFill>
                  <pic:spPr>
                    <a:xfrm>
                      <a:off x="0" y="0"/>
                      <a:ext cx="5269865" cy="7400925"/>
                    </a:xfrm>
                    <a:prstGeom prst="rect">
                      <a:avLst/>
                    </a:prstGeom>
                  </pic:spPr>
                </pic:pic>
              </a:graphicData>
            </a:graphic>
          </wp:inline>
        </w:drawing>
      </w:r>
      <w:r>
        <w:rPr>
          <w:rFonts w:hint="eastAsia" w:ascii="宋体" w:hAnsi="宋体"/>
          <w:b/>
          <w:sz w:val="28"/>
          <w:szCs w:val="20"/>
          <w:lang w:val="en-US" w:eastAsia="zh-CN"/>
        </w:rPr>
        <w:t xml:space="preserve"> </w:t>
      </w:r>
    </w:p>
    <w:p w14:paraId="5FE40898"/>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7119BC"/>
    <w:multiLevelType w:val="multilevel"/>
    <w:tmpl w:val="7A7119BC"/>
    <w:lvl w:ilvl="0" w:tentative="0">
      <w:start w:val="1"/>
      <w:numFmt w:val="decimal"/>
      <w:lvlText w:val="%1."/>
      <w:lvlJc w:val="left"/>
      <w:pPr>
        <w:ind w:left="420" w:hanging="4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A13FC0"/>
    <w:rsid w:val="22A11188"/>
    <w:rsid w:val="30C03336"/>
    <w:rsid w:val="630633E2"/>
    <w:rsid w:val="63EA4A5D"/>
    <w:rsid w:val="68684D3C"/>
    <w:rsid w:val="6B4E2D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Normal (Web)"/>
    <w:basedOn w:val="1"/>
    <w:qFormat/>
    <w:uiPriority w:val="99"/>
    <w:rPr>
      <w:sz w:val="24"/>
    </w:rPr>
  </w:style>
  <w:style w:type="table" w:styleId="5">
    <w:name w:val="Table Grid"/>
    <w:basedOn w:val="4"/>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4833</Words>
  <Characters>5385</Characters>
  <Lines>0</Lines>
  <Paragraphs>0</Paragraphs>
  <TotalTime>3</TotalTime>
  <ScaleCrop>false</ScaleCrop>
  <LinksUpToDate>false</LinksUpToDate>
  <CharactersWithSpaces>5426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2025-09-08T14:36:00Z</dcterms:created>
  <dc:creator>saull</dc:creator>
  <cp:lastModifiedBy>手疼打字不便有事电话联系</cp:lastModifiedBy>
  <dcterms:modified xsi:type="dcterms:W3CDTF">2025-09-11T07:38:39Z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eyJoZGlkIjoiYTc1NjQ5YjEwYWUwNjkwMTk2OTIyYTZmZjJhOTZlNDMiLCJ1c2VySWQiOiIxMDI0NDc0MjM4In0=</vt:lpwstr>
  </property>
  <property fmtid="{D5CDD505-2E9C-101B-9397-08002B2CF9AE}" pid="4" name="ICV">
    <vt:lpwstr>EDFA862020CB437E816DBED0F198A5C8_12</vt:lpwstr>
  </property>
</Properties>
</file>