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01BD">
      <w:pPr>
        <w:widowControl/>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奉浦校区学生宿舍3、4、5、6号楼数据网关三方比价需求</w:t>
      </w:r>
    </w:p>
    <w:p w14:paraId="6F4E5320">
      <w:pPr>
        <w:pStyle w:val="4"/>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项目名称：奉浦校区学生宿舍3、4、5、6号楼数据网关</w:t>
      </w:r>
    </w:p>
    <w:p w14:paraId="3D9918DD">
      <w:pPr>
        <w:pStyle w:val="4"/>
        <w:numPr>
          <w:ilvl w:val="0"/>
          <w:numId w:val="1"/>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项目内容：奉浦校区学生宿舍3、4、5、6号楼数据网关</w:t>
      </w:r>
    </w:p>
    <w:p w14:paraId="40A73FBE">
      <w:pPr>
        <w:pStyle w:val="4"/>
        <w:numPr>
          <w:ilvl w:val="0"/>
          <w:numId w:val="1"/>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项目预算：4.9万</w:t>
      </w:r>
    </w:p>
    <w:p w14:paraId="6C0566DC">
      <w:pPr>
        <w:widowControl/>
        <w:numPr>
          <w:ilvl w:val="0"/>
          <w:numId w:val="0"/>
        </w:numPr>
        <w:spacing w:before="100" w:after="100" w:line="360" w:lineRule="auto"/>
        <w:ind w:leftChars="0"/>
        <w:jc w:val="left"/>
        <w:rPr>
          <w:rFonts w:hint="eastAsia" w:ascii="宋体" w:hAnsi="宋体" w:eastAsia="宋体"/>
          <w:b/>
          <w:sz w:val="28"/>
          <w:szCs w:val="28"/>
          <w:lang w:val="en-US" w:eastAsia="zh-CN"/>
        </w:rPr>
      </w:pPr>
      <w:r>
        <w:rPr>
          <w:rFonts w:hint="eastAsia" w:ascii="宋体" w:hAnsi="宋体"/>
          <w:b w:val="0"/>
          <w:bCs/>
          <w:sz w:val="28"/>
          <w:szCs w:val="28"/>
          <w:lang w:eastAsia="zh-CN"/>
        </w:rPr>
        <w:t>四、</w:t>
      </w:r>
      <w:r>
        <w:rPr>
          <w:rFonts w:hint="eastAsia" w:ascii="宋体" w:hAnsi="宋体" w:cs="宋体"/>
          <w:bCs/>
          <w:color w:val="000000" w:themeColor="text1"/>
          <w:sz w:val="28"/>
          <w:szCs w:val="28"/>
          <w:highlight w:val="none"/>
          <w14:textFill>
            <w14:solidFill>
              <w14:schemeClr w14:val="tx1"/>
            </w14:solidFill>
          </w14:textFill>
        </w:rPr>
        <w:t>★</w:t>
      </w:r>
      <w:r>
        <w:rPr>
          <w:rFonts w:hint="eastAsia" w:ascii="宋体" w:hAnsi="宋体"/>
          <w:b w:val="0"/>
          <w:bCs/>
          <w:sz w:val="28"/>
          <w:szCs w:val="28"/>
        </w:rPr>
        <w:t>合格</w:t>
      </w:r>
      <w:r>
        <w:rPr>
          <w:rFonts w:hint="eastAsia" w:ascii="宋体" w:hAnsi="宋体"/>
          <w:b w:val="0"/>
          <w:bCs/>
          <w:sz w:val="28"/>
          <w:szCs w:val="28"/>
          <w:lang w:eastAsia="zh-CN"/>
        </w:rPr>
        <w:t>比价单位</w:t>
      </w:r>
      <w:r>
        <w:rPr>
          <w:rFonts w:hint="eastAsia" w:ascii="宋体" w:hAnsi="宋体"/>
          <w:b w:val="0"/>
          <w:bCs/>
          <w:sz w:val="28"/>
          <w:szCs w:val="28"/>
        </w:rPr>
        <w:t>必须同时具备以下条件</w:t>
      </w:r>
      <w:r>
        <w:rPr>
          <w:rFonts w:hint="eastAsia" w:ascii="宋体" w:hAnsi="宋体"/>
          <w:b w:val="0"/>
          <w:bCs/>
          <w:sz w:val="28"/>
          <w:szCs w:val="28"/>
          <w:lang w:eastAsia="zh-CN"/>
        </w:rPr>
        <w:t>并上传相关资质、证件承若书等材料</w:t>
      </w:r>
    </w:p>
    <w:p w14:paraId="1CAFD604">
      <w:pPr>
        <w:widowControl/>
        <w:numPr>
          <w:ilvl w:val="0"/>
          <w:numId w:val="0"/>
        </w:numPr>
        <w:spacing w:before="100" w:after="100" w:line="360" w:lineRule="auto"/>
        <w:ind w:leftChars="0"/>
        <w:jc w:val="left"/>
        <w:rPr>
          <w:rFonts w:hint="eastAsia" w:ascii="宋体" w:hAnsi="宋体"/>
          <w:kern w:val="0"/>
          <w:sz w:val="28"/>
          <w:szCs w:val="28"/>
        </w:rPr>
      </w:pPr>
      <w:r>
        <w:rPr>
          <w:rFonts w:hint="eastAsia" w:ascii="宋体" w:hAnsi="宋体"/>
          <w:kern w:val="0"/>
          <w:sz w:val="28"/>
          <w:szCs w:val="28"/>
        </w:rPr>
        <w:t>合格的</w:t>
      </w:r>
      <w:r>
        <w:rPr>
          <w:rFonts w:hint="eastAsia" w:ascii="宋体" w:hAnsi="宋体"/>
          <w:kern w:val="0"/>
          <w:sz w:val="28"/>
          <w:szCs w:val="28"/>
          <w:lang w:eastAsia="zh-CN"/>
        </w:rPr>
        <w:t>比价单位</w:t>
      </w:r>
      <w:r>
        <w:rPr>
          <w:rFonts w:hint="eastAsia" w:ascii="宋体" w:hAnsi="宋体"/>
          <w:kern w:val="0"/>
          <w:sz w:val="28"/>
          <w:szCs w:val="28"/>
        </w:rPr>
        <w:t>除具备政府采购法第二十二条规定的条件外还应具备以下资格条件：</w:t>
      </w:r>
    </w:p>
    <w:p w14:paraId="7ADD9059">
      <w:pPr>
        <w:pStyle w:val="4"/>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在中华人民共和国境内注册；</w:t>
      </w:r>
    </w:p>
    <w:p w14:paraId="2658BC95">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单位需有固定经营场所；</w:t>
      </w:r>
    </w:p>
    <w:p w14:paraId="2E1CCE6D">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两年内未发生安全责任事故；</w:t>
      </w:r>
    </w:p>
    <w:p w14:paraId="621E94A2">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施工人员须有相关部门（应急管理局）颁发的低压电工操作证，施工现场超两米以上作业的须有高出安装、维护和拆除作业证；</w:t>
      </w:r>
    </w:p>
    <w:p w14:paraId="468AA62A">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参加比价单位须有机电安装贰级以上资质（包括贰级）；</w:t>
      </w:r>
    </w:p>
    <w:p w14:paraId="2B80F22F">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参加比价单位须提交安全承诺书</w:t>
      </w:r>
    </w:p>
    <w:p w14:paraId="6ED19375">
      <w:pPr>
        <w:pStyle w:val="4"/>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数据网关技术参数；</w:t>
      </w:r>
    </w:p>
    <w:tbl>
      <w:tblPr>
        <w:tblStyle w:val="2"/>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36"/>
        <w:gridCol w:w="5256"/>
        <w:gridCol w:w="1460"/>
      </w:tblGrid>
      <w:tr w14:paraId="5FA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732" w:type="dxa"/>
            <w:noWrap w:val="0"/>
            <w:vAlign w:val="center"/>
          </w:tcPr>
          <w:p w14:paraId="68072BA9">
            <w:pPr>
              <w:jc w:val="center"/>
              <w:rPr>
                <w:rFonts w:hint="eastAsia" w:ascii="宋体" w:hAnsi="宋体" w:cs="仿宋_GB2312"/>
                <w:b/>
                <w:szCs w:val="21"/>
              </w:rPr>
            </w:pPr>
            <w:r>
              <w:rPr>
                <w:rFonts w:hint="eastAsia" w:ascii="宋体" w:hAnsi="宋体" w:cs="仿宋_GB2312"/>
                <w:b/>
                <w:szCs w:val="21"/>
              </w:rPr>
              <w:t>1</w:t>
            </w:r>
          </w:p>
        </w:tc>
        <w:tc>
          <w:tcPr>
            <w:tcW w:w="1036" w:type="dxa"/>
            <w:noWrap w:val="0"/>
            <w:vAlign w:val="center"/>
          </w:tcPr>
          <w:p w14:paraId="4D11A7CA">
            <w:pPr>
              <w:jc w:val="center"/>
              <w:rPr>
                <w:rFonts w:ascii="宋体" w:hAnsi="宋体" w:cs="仿宋_GB2312"/>
                <w:b/>
                <w:szCs w:val="21"/>
              </w:rPr>
            </w:pPr>
            <w:r>
              <w:rPr>
                <w:rFonts w:hint="eastAsia" w:ascii="宋体" w:hAnsi="宋体" w:cs="仿宋_GB2312"/>
                <w:b/>
                <w:szCs w:val="21"/>
              </w:rPr>
              <w:t>数据网关</w:t>
            </w:r>
          </w:p>
        </w:tc>
        <w:tc>
          <w:tcPr>
            <w:tcW w:w="5256" w:type="dxa"/>
            <w:noWrap w:val="0"/>
            <w:vAlign w:val="top"/>
          </w:tcPr>
          <w:p w14:paraId="73A90AB1">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1、通过有线网络或无线网络将数据上传至服务器，支持直连云服务器，实时上传采集的数据，可定时上传时间。</w:t>
            </w:r>
          </w:p>
          <w:p w14:paraId="79BAD558">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2、支持 GB/T 19582.1-2008(ModBus)、DL/T645-2007、CJ/T 188-2018 的通信协议及国网Q/GDW 1376.1-2013 协议，每个接口独立可配置。（</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395F7474">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3、支持两个以上的以太网接口，网络中所有设备的 IP与本设备工作应在同一个网段，可互相通讯，可通过移动终端，服务器等设备应正常访问</w:t>
            </w:r>
          </w:p>
          <w:p w14:paraId="1C7406EC">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支持在线检测，在线维持，掉线自动重拨，与服务器间的 TCP连接无任何数据收发的时候，开始计时，当计时超过设定值时，可重新连接服务器。</w:t>
            </w:r>
          </w:p>
          <w:p w14:paraId="03AC4922">
            <w:pPr>
              <w:adjustRightInd w:val="0"/>
              <w:spacing w:line="300" w:lineRule="auto"/>
              <w:jc w:val="left"/>
              <w:rPr>
                <w:rFonts w:hint="eastAsia"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4、采用4核 A9。</w:t>
            </w:r>
          </w:p>
          <w:p w14:paraId="6810FB1F">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≥512MB DDR3 RAM，配置 4GB 存储，可扩展至 128GB。（</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17430A56">
            <w:pPr>
              <w:numPr>
                <w:ilvl w:val="0"/>
                <w:numId w:val="0"/>
              </w:numPr>
              <w:adjustRightInd w:val="0"/>
              <w:spacing w:line="300" w:lineRule="auto"/>
              <w:jc w:val="left"/>
              <w:rPr>
                <w:rFonts w:hint="eastAsia"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lang w:val="en-US" w:eastAsia="zh-CN"/>
                <w14:textFill>
                  <w14:solidFill>
                    <w14:schemeClr w14:val="tx1"/>
                  </w14:solidFill>
                </w14:textFill>
              </w:rPr>
              <w:t>5、</w:t>
            </w:r>
            <w:r>
              <w:rPr>
                <w:rFonts w:hint="eastAsia" w:ascii="宋体" w:hAnsi="宋体" w:cs="宋体"/>
                <w:bCs/>
                <w:color w:val="000000" w:themeColor="text1"/>
                <w:sz w:val="20"/>
                <w:szCs w:val="20"/>
                <w:highlight w:val="none"/>
                <w14:textFill>
                  <w14:solidFill>
                    <w14:schemeClr w14:val="tx1"/>
                  </w14:solidFill>
                </w14:textFill>
              </w:rPr>
              <w:t>支持 Linux 3.4.39、支持 Ubuntu 14.04。</w:t>
            </w:r>
          </w:p>
          <w:p w14:paraId="667F1779">
            <w:pPr>
              <w:numPr>
                <w:ilvl w:val="0"/>
                <w:numId w:val="0"/>
              </w:num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6、具有2个100M/10M自适应Ethernet网口支持AUTO MDI/MDIX 双级抗雷防护，具有标准 SIM 卡(全网通)卡槽，具有 4G 天线SMA 接口，插入流量卡可实现无线传输。（</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45A81AED">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7、具有4个RS232接口(与RS485为复用关系)，具有1个M-BUS接口，每个串口不应低于32个终端设备的带载能力；</w:t>
            </w:r>
          </w:p>
          <w:p w14:paraId="6BEBABCB">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8、USBHOST接口：具有1个USBHOST接口支持扩展USB 外设，具有输出过载保护功能，对外输出电源可编程开关控制，支持三种芯片的 USB 无线网卡，芯片分别为RTL8188EU、RTL8192EU和MT7601U。（</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0763C23D">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9、采集速率：支持最大采集速率115200bps。</w:t>
            </w:r>
          </w:p>
          <w:p w14:paraId="6BD74E74">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10、抗电强度：网关交流电源输入端与金属外壳之间，应能承受AC 1500V、50Hz的试验电压，1min 内无击穿。</w:t>
            </w:r>
          </w:p>
          <w:p w14:paraId="336A84C3">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11、接触放电:放电位置:对正常使用中手可能接触到的导电表面(点)及耦合板;放电电压:6kV;放电次数:正负极性各10次;放电时间间隔:1s;试验后应能正常工作（</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353F446D">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12、干扰方式:在相线和地线之间施加;峰值电压:2kV;重复率:5kHz;干扰时间:正负极各试验1min;试验后应能正常工作。</w:t>
            </w:r>
          </w:p>
          <w:p w14:paraId="36913E2B">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13、浪涌测试，开路电压波形:1.2/50us;对电源(线-地)施加 2kV对电源(线-线)施加 1kV;次数:各5次正脉冲和5次负脉冲;每次连续脉冲间的时间间隔:60s;试验后应能正常工作。</w:t>
            </w:r>
          </w:p>
          <w:p w14:paraId="4D3DCA32">
            <w:pPr>
              <w:adjustRightInd w:val="0"/>
              <w:spacing w:line="300" w:lineRule="auto"/>
              <w:jc w:val="left"/>
              <w:rPr>
                <w:rFonts w:ascii="宋体" w:hAnsi="宋体" w:cs="宋体"/>
                <w:bCs/>
                <w:color w:val="000000" w:themeColor="text1"/>
                <w:sz w:val="20"/>
                <w:szCs w:val="20"/>
                <w:highlight w:val="none"/>
                <w14:textFill>
                  <w14:solidFill>
                    <w14:schemeClr w14:val="tx1"/>
                  </w14:solidFill>
                </w14:textFill>
              </w:rPr>
            </w:pPr>
            <w:r>
              <w:rPr>
                <w:rFonts w:hint="eastAsia" w:ascii="宋体" w:hAnsi="宋体" w:cs="宋体"/>
                <w:bCs/>
                <w:color w:val="000000" w:themeColor="text1"/>
                <w:sz w:val="20"/>
                <w:szCs w:val="20"/>
                <w:highlight w:val="none"/>
                <w14:textFill>
                  <w14:solidFill>
                    <w14:schemeClr w14:val="tx1"/>
                  </w14:solidFill>
                </w14:textFill>
              </w:rPr>
              <w:t>14、按GB/T 2423.2-2008 的方法进行:数据网关在 70℃高温环境下运行 2h，应正常工作按 ；按 GB/T 2423.3-2016的方法进行:数据网关在 40℃、90%RH的温湿度环境下贮存48h，试验后常温下恢复 2h，应正常工作。（</w:t>
            </w:r>
            <w:r>
              <w:rPr>
                <w:rFonts w:hint="eastAsia" w:ascii="宋体" w:hAnsi="宋体" w:cs="宋体"/>
                <w:color w:val="000000" w:themeColor="text1"/>
                <w:sz w:val="20"/>
                <w:szCs w:val="20"/>
                <w:highlight w:val="none"/>
                <w14:textFill>
                  <w14:solidFill>
                    <w14:schemeClr w14:val="tx1"/>
                  </w14:solidFill>
                </w14:textFill>
              </w:rPr>
              <w:t>投标时须提供</w:t>
            </w:r>
            <w:r>
              <w:rPr>
                <w:rFonts w:hint="eastAsia" w:ascii="宋体" w:hAnsi="宋体" w:cs="宋体"/>
                <w:color w:val="000000" w:themeColor="text1"/>
                <w:kern w:val="2"/>
                <w:sz w:val="20"/>
                <w:highlight w:val="none"/>
                <w14:textFill>
                  <w14:solidFill>
                    <w14:schemeClr w14:val="tx1"/>
                  </w14:solidFill>
                </w14:textFill>
              </w:rPr>
              <w:t>第三方机构出具带有CMA和CNAS的检验检测报告复印件加盖投标人公章</w:t>
            </w:r>
            <w:r>
              <w:rPr>
                <w:rFonts w:hint="eastAsia" w:ascii="宋体" w:hAnsi="宋体" w:cs="宋体"/>
                <w:bCs/>
                <w:color w:val="000000" w:themeColor="text1"/>
                <w:sz w:val="20"/>
                <w:szCs w:val="20"/>
                <w:highlight w:val="none"/>
                <w14:textFill>
                  <w14:solidFill>
                    <w14:schemeClr w14:val="tx1"/>
                  </w14:solidFill>
                </w14:textFill>
              </w:rPr>
              <w:t>）</w:t>
            </w:r>
          </w:p>
          <w:p w14:paraId="39BF46FA">
            <w:pPr>
              <w:jc w:val="left"/>
              <w:rPr>
                <w:rFonts w:hint="eastAsia" w:ascii="宋体" w:hAnsi="宋体" w:cs="仿宋_GB2312"/>
                <w:szCs w:val="21"/>
              </w:rPr>
            </w:pPr>
            <w:r>
              <w:rPr>
                <w:rFonts w:hint="eastAsia" w:ascii="宋体" w:hAnsi="宋体" w:cs="宋体"/>
                <w:bCs/>
                <w:color w:val="000000" w:themeColor="text1"/>
                <w:sz w:val="20"/>
                <w:szCs w:val="20"/>
                <w:highlight w:val="none"/>
                <w14:textFill>
                  <w14:solidFill>
                    <w14:schemeClr w14:val="tx1"/>
                  </w14:solidFill>
                </w14:textFill>
              </w:rPr>
              <w:t>15、具有数据网关嵌入式软件著作权。(投标时须提供著作权证书复印件加盖投标人公章)</w:t>
            </w:r>
          </w:p>
        </w:tc>
        <w:tc>
          <w:tcPr>
            <w:tcW w:w="1460" w:type="dxa"/>
            <w:noWrap w:val="0"/>
            <w:vAlign w:val="top"/>
          </w:tcPr>
          <w:p w14:paraId="1A51EBDF">
            <w:pPr>
              <w:rPr>
                <w:rFonts w:hint="eastAsia" w:ascii="宋体" w:hAnsi="宋体" w:cs="仿宋_GB2312"/>
                <w:szCs w:val="21"/>
              </w:rPr>
            </w:pPr>
            <w:r>
              <w:rPr>
                <w:rFonts w:hint="eastAsia" w:ascii="宋体" w:hAnsi="宋体" w:cs="宋体"/>
                <w:sz w:val="20"/>
                <w:szCs w:val="20"/>
                <w:highlight w:val="none"/>
              </w:rPr>
              <w:t>投标时须提供</w:t>
            </w:r>
            <w:r>
              <w:rPr>
                <w:rFonts w:hint="eastAsia" w:ascii="宋体" w:hAnsi="宋体" w:cs="宋体"/>
                <w:kern w:val="2"/>
                <w:sz w:val="20"/>
                <w:highlight w:val="none"/>
              </w:rPr>
              <w:t>第三方机构出具带有CMA和CNAS的检验检测报告复印件加盖投标人公章</w:t>
            </w:r>
          </w:p>
        </w:tc>
      </w:tr>
    </w:tbl>
    <w:p w14:paraId="41F621D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保证现场电表和中标网关可正常通讯并接入原校园平台。</w:t>
      </w:r>
    </w:p>
    <w:p w14:paraId="25E728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中标后需中标方携带中标网关进行现场对接并演示实现学校所要求功能。</w:t>
      </w:r>
    </w:p>
    <w:p w14:paraId="2BB63F73">
      <w:pPr>
        <w:pStyle w:val="4"/>
        <w:keepNext w:val="0"/>
        <w:keepLines w:val="0"/>
        <w:pageBreakBefore w:val="0"/>
        <w:widowControl w:val="0"/>
        <w:numPr>
          <w:ilvl w:val="0"/>
          <w:numId w:val="0"/>
        </w:numPr>
        <w:kinsoku/>
        <w:wordWrap/>
        <w:overflowPunct/>
        <w:topLinePunct w:val="0"/>
        <w:bidi w:val="0"/>
        <w:snapToGrid/>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（10）需实现学生可以在i上商app上进行购电。</w:t>
      </w:r>
    </w:p>
    <w:p w14:paraId="6DAF700E">
      <w:pPr>
        <w:pStyle w:val="4"/>
        <w:keepNext w:val="0"/>
        <w:keepLines w:val="0"/>
        <w:pageBreakBefore w:val="0"/>
        <w:widowControl w:val="0"/>
        <w:numPr>
          <w:ilvl w:val="0"/>
          <w:numId w:val="0"/>
        </w:numPr>
        <w:kinsoku/>
        <w:wordWrap/>
        <w:overflowPunct/>
        <w:topLinePunct w:val="0"/>
        <w:bidi w:val="0"/>
        <w:snapToGrid/>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（11）中标方需自行考虑与原平台厂家对接。</w:t>
      </w:r>
    </w:p>
    <w:p w14:paraId="7D1704BC">
      <w:pPr>
        <w:pStyle w:val="4"/>
        <w:keepNext w:val="0"/>
        <w:keepLines w:val="0"/>
        <w:pageBreakBefore w:val="0"/>
        <w:widowControl w:val="0"/>
        <w:numPr>
          <w:ilvl w:val="0"/>
          <w:numId w:val="0"/>
        </w:numPr>
        <w:kinsoku/>
        <w:wordWrap/>
        <w:overflowPunct/>
        <w:topLinePunct w:val="0"/>
        <w:bidi w:val="0"/>
        <w:snapToGrid/>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(12）中标单位须对所安装设备提供1年质保服务，并承诺在质保期内发生任何问题，中标单位须在30分钟内解决。</w:t>
      </w:r>
      <w:bookmarkStart w:id="0" w:name="_GoBack"/>
      <w:bookmarkEnd w:id="0"/>
    </w:p>
    <w:p w14:paraId="3533AF43">
      <w:pPr>
        <w:pStyle w:val="4"/>
        <w:keepNext w:val="0"/>
        <w:keepLines w:val="0"/>
        <w:pageBreakBefore w:val="0"/>
        <w:widowControl w:val="0"/>
        <w:numPr>
          <w:ilvl w:val="0"/>
          <w:numId w:val="0"/>
        </w:numPr>
        <w:kinsoku/>
        <w:wordWrap/>
        <w:overflowPunct/>
        <w:topLinePunct w:val="0"/>
        <w:bidi w:val="0"/>
        <w:snapToGrid/>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五、比价文件其他需求：</w:t>
      </w:r>
    </w:p>
    <w:p w14:paraId="6ADEFCF8">
      <w:pPr>
        <w:pStyle w:val="4"/>
        <w:keepNext w:val="0"/>
        <w:keepLines w:val="0"/>
        <w:pageBreakBefore w:val="0"/>
        <w:widowControl w:val="0"/>
        <w:numPr>
          <w:ilvl w:val="0"/>
          <w:numId w:val="0"/>
        </w:numPr>
        <w:kinsoku/>
        <w:wordWrap/>
        <w:overflowPunct/>
        <w:topLinePunct w:val="0"/>
        <w:bidi w:val="0"/>
        <w:snapToGrid/>
        <w:textAlignment w:val="auto"/>
        <w:rPr>
          <w:rFonts w:hint="eastAsia" w:ascii="宋体" w:hAnsi="宋体" w:eastAsia="宋体" w:cs="宋体"/>
          <w:b/>
          <w:bCs w:val="0"/>
          <w:sz w:val="21"/>
          <w:szCs w:val="21"/>
          <w:highlight w:val="none"/>
          <w:lang w:val="en-US" w:eastAsia="zh-CN"/>
        </w:rPr>
      </w:pPr>
      <w:r>
        <w:rPr>
          <w:rFonts w:hint="eastAsia" w:asciiTheme="minorEastAsia" w:hAnsiTheme="minorEastAsia" w:eastAsiaTheme="minorEastAsia" w:cstheme="minorEastAsia"/>
          <w:sz w:val="28"/>
          <w:szCs w:val="28"/>
          <w:lang w:val="en-US" w:eastAsia="zh-CN"/>
        </w:rPr>
        <w:t>（1）</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u w:val="single"/>
          <w:lang w:val="en-US" w:eastAsia="zh-CN"/>
        </w:rPr>
        <w:t>本项目预算4.9</w:t>
      </w:r>
      <w:r>
        <w:rPr>
          <w:rFonts w:hint="eastAsia" w:ascii="宋体" w:hAnsi="宋体" w:cs="宋体"/>
          <w:b w:val="0"/>
          <w:bCs/>
          <w:sz w:val="28"/>
          <w:szCs w:val="28"/>
          <w:highlight w:val="none"/>
          <w:u w:val="single"/>
          <w:lang w:val="en-US" w:eastAsia="zh-CN"/>
        </w:rPr>
        <w:t>万</w:t>
      </w:r>
      <w:r>
        <w:rPr>
          <w:rFonts w:hint="eastAsia" w:ascii="宋体" w:hAnsi="宋体" w:eastAsia="宋体" w:cs="宋体"/>
          <w:b w:val="0"/>
          <w:bCs/>
          <w:sz w:val="28"/>
          <w:szCs w:val="28"/>
          <w:highlight w:val="none"/>
          <w:u w:val="single"/>
          <w:lang w:val="en-US" w:eastAsia="zh-CN"/>
        </w:rPr>
        <w:t>，</w:t>
      </w:r>
      <w:r>
        <w:rPr>
          <w:rFonts w:hint="eastAsia" w:ascii="宋体" w:hAnsi="宋体" w:eastAsia="宋体" w:cs="宋体"/>
          <w:b w:val="0"/>
          <w:bCs/>
          <w:color w:val="000000"/>
          <w:sz w:val="28"/>
          <w:szCs w:val="28"/>
          <w:highlight w:val="none"/>
          <w:u w:val="single"/>
        </w:rPr>
        <w:t>响应</w:t>
      </w:r>
      <w:r>
        <w:rPr>
          <w:rFonts w:hint="eastAsia" w:ascii="宋体" w:hAnsi="宋体" w:eastAsia="宋体" w:cs="宋体"/>
          <w:b w:val="0"/>
          <w:bCs/>
          <w:sz w:val="28"/>
          <w:szCs w:val="28"/>
          <w:highlight w:val="none"/>
          <w:u w:val="single"/>
        </w:rPr>
        <w:t>报价超过预算金额为无效响应</w:t>
      </w:r>
      <w:r>
        <w:rPr>
          <w:rFonts w:hint="eastAsia" w:ascii="宋体" w:hAnsi="宋体" w:eastAsia="宋体" w:cs="宋体"/>
          <w:b/>
          <w:bCs w:val="0"/>
          <w:sz w:val="21"/>
          <w:szCs w:val="21"/>
          <w:highlight w:val="none"/>
          <w:lang w:val="en-US" w:eastAsia="zh-CN"/>
        </w:rPr>
        <w:t>；</w:t>
      </w:r>
    </w:p>
    <w:p w14:paraId="5C867DF8">
      <w:pPr>
        <w:pStyle w:val="4"/>
        <w:keepNext w:val="0"/>
        <w:keepLines w:val="0"/>
        <w:pageBreakBefore w:val="0"/>
        <w:widowControl w:val="0"/>
        <w:numPr>
          <w:ilvl w:val="0"/>
          <w:numId w:val="0"/>
        </w:numPr>
        <w:kinsoku/>
        <w:wordWrap/>
        <w:overflowPunct/>
        <w:topLinePunct w:val="0"/>
        <w:bidi w:val="0"/>
        <w:snapToGrid/>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（2）服务期：自合同签订后7天；</w:t>
      </w:r>
    </w:p>
    <w:p w14:paraId="406DB9EE">
      <w:pPr>
        <w:pStyle w:val="4"/>
        <w:keepNext w:val="0"/>
        <w:keepLines w:val="0"/>
        <w:pageBreakBefore w:val="0"/>
        <w:widowControl w:val="0"/>
        <w:numPr>
          <w:ilvl w:val="0"/>
          <w:numId w:val="0"/>
        </w:numPr>
        <w:kinsoku/>
        <w:wordWrap/>
        <w:overflowPunct/>
        <w:topLinePunct w:val="0"/>
        <w:bidi w:val="0"/>
        <w:snapToGrid/>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（3）付款方式：合同签订后支付合同价格的30%，完工后支付合同价格50%,验收合格后支付合同价格20%。</w:t>
      </w:r>
    </w:p>
    <w:p w14:paraId="451F2B00">
      <w:pPr>
        <w:spacing w:line="360" w:lineRule="auto"/>
        <w:rPr>
          <w:rFonts w:ascii="宋体" w:hAnsi="宋体" w:eastAsia="宋体" w:cs="宋体"/>
          <w:b w:val="0"/>
          <w:bCs/>
          <w:sz w:val="21"/>
          <w:szCs w:val="21"/>
          <w:highlight w:val="none"/>
          <w:u w:val="none"/>
        </w:rPr>
      </w:pPr>
      <w:r>
        <w:rPr>
          <w:rFonts w:hint="eastAsia" w:ascii="宋体" w:hAnsi="宋体" w:eastAsia="宋体" w:cs="宋体"/>
          <w:b w:val="0"/>
          <w:bCs/>
          <w:sz w:val="28"/>
          <w:szCs w:val="28"/>
          <w:highlight w:val="none"/>
          <w:lang w:val="en-US" w:eastAsia="zh-CN"/>
        </w:rPr>
        <w:t>六、</w:t>
      </w:r>
      <w:r>
        <w:rPr>
          <w:rFonts w:ascii="宋体" w:hAnsi="宋体" w:eastAsia="宋体" w:cs="宋体"/>
          <w:b w:val="0"/>
          <w:bCs/>
          <w:sz w:val="28"/>
          <w:szCs w:val="28"/>
          <w:highlight w:val="none"/>
        </w:rPr>
        <w:t>★</w:t>
      </w:r>
      <w:r>
        <w:rPr>
          <w:rFonts w:hint="eastAsia" w:ascii="宋体" w:hAnsi="宋体" w:cs="宋体"/>
          <w:b w:val="0"/>
          <w:bCs/>
          <w:sz w:val="28"/>
          <w:szCs w:val="28"/>
          <w:highlight w:val="none"/>
          <w:lang w:eastAsia="zh-CN"/>
        </w:rPr>
        <w:t>比价需上传材料</w:t>
      </w:r>
      <w:r>
        <w:rPr>
          <w:rFonts w:hint="default" w:ascii="宋体" w:hAnsi="宋体" w:eastAsia="宋体" w:cs="宋体"/>
          <w:b w:val="0"/>
          <w:bCs/>
          <w:sz w:val="28"/>
          <w:szCs w:val="28"/>
          <w:highlight w:val="none"/>
          <w:u w:val="none"/>
          <w:lang w:val="en-US"/>
        </w:rPr>
        <w:t>(</w:t>
      </w:r>
      <w:r>
        <w:rPr>
          <w:rFonts w:hint="eastAsia" w:ascii="宋体" w:hAnsi="宋体" w:eastAsia="宋体" w:cs="宋体"/>
          <w:b w:val="0"/>
          <w:bCs/>
          <w:sz w:val="28"/>
          <w:szCs w:val="28"/>
          <w:highlight w:val="none"/>
          <w:u w:val="none"/>
          <w:lang w:val="en-US" w:eastAsia="zh-CN"/>
        </w:rPr>
        <w:t>加盖公章</w:t>
      </w:r>
      <w:r>
        <w:rPr>
          <w:rFonts w:hint="default" w:ascii="宋体" w:hAnsi="宋体" w:eastAsia="宋体" w:cs="宋体"/>
          <w:b w:val="0"/>
          <w:bCs/>
          <w:sz w:val="28"/>
          <w:szCs w:val="28"/>
          <w:highlight w:val="none"/>
          <w:u w:val="none"/>
          <w:lang w:val="en-US"/>
        </w:rPr>
        <w:t>)</w:t>
      </w:r>
      <w:r>
        <w:rPr>
          <w:rFonts w:ascii="宋体" w:hAnsi="宋体" w:eastAsia="宋体" w:cs="宋体"/>
          <w:b w:val="0"/>
          <w:bCs/>
          <w:sz w:val="21"/>
          <w:szCs w:val="21"/>
          <w:highlight w:val="none"/>
          <w:u w:val="none"/>
        </w:rPr>
        <w:t>：</w:t>
      </w:r>
    </w:p>
    <w:p w14:paraId="0285294E">
      <w:pPr>
        <w:spacing w:line="360" w:lineRule="auto"/>
        <w:rPr>
          <w:rFonts w:hint="eastAsia" w:ascii="宋体" w:hAnsi="宋体" w:eastAsia="宋体" w:cs="宋体"/>
          <w:b w:val="0"/>
          <w:bCs/>
          <w:sz w:val="28"/>
          <w:szCs w:val="28"/>
          <w:highlight w:val="none"/>
          <w:u w:val="none"/>
          <w:lang w:eastAsia="zh-CN"/>
        </w:rPr>
      </w:pPr>
      <w:r>
        <w:rPr>
          <w:rFonts w:hint="eastAsia" w:ascii="宋体" w:hAnsi="宋体" w:eastAsia="宋体" w:cs="宋体"/>
          <w:b w:val="0"/>
          <w:bCs/>
          <w:sz w:val="28"/>
          <w:szCs w:val="28"/>
          <w:highlight w:val="none"/>
          <w:u w:val="none"/>
          <w:lang w:eastAsia="zh-CN"/>
        </w:rPr>
        <w:t>（</w:t>
      </w:r>
      <w:r>
        <w:rPr>
          <w:rFonts w:hint="eastAsia" w:ascii="宋体" w:hAnsi="宋体" w:eastAsia="宋体" w:cs="宋体"/>
          <w:b w:val="0"/>
          <w:bCs/>
          <w:sz w:val="28"/>
          <w:szCs w:val="28"/>
          <w:highlight w:val="none"/>
          <w:u w:val="none"/>
          <w:lang w:val="en-US" w:eastAsia="zh-CN"/>
        </w:rPr>
        <w:t>1</w:t>
      </w:r>
      <w:r>
        <w:rPr>
          <w:rFonts w:hint="eastAsia" w:ascii="宋体" w:hAnsi="宋体" w:eastAsia="宋体" w:cs="宋体"/>
          <w:b w:val="0"/>
          <w:bCs/>
          <w:sz w:val="28"/>
          <w:szCs w:val="28"/>
          <w:highlight w:val="none"/>
          <w:u w:val="none"/>
          <w:lang w:eastAsia="zh-CN"/>
        </w:rPr>
        <w:t>）法定代表人授权书；</w:t>
      </w:r>
    </w:p>
    <w:p w14:paraId="66CBB583">
      <w:pPr>
        <w:spacing w:line="360" w:lineRule="auto"/>
        <w:rPr>
          <w:rFonts w:hint="eastAsia" w:ascii="宋体" w:hAnsi="宋体" w:eastAsia="宋体" w:cs="宋体"/>
          <w:b w:val="0"/>
          <w:bCs/>
          <w:sz w:val="28"/>
          <w:szCs w:val="28"/>
          <w:highlight w:val="none"/>
          <w:u w:val="none"/>
          <w:lang w:eastAsia="zh-CN"/>
        </w:rPr>
      </w:pPr>
      <w:r>
        <w:rPr>
          <w:rFonts w:hint="eastAsia" w:ascii="宋体" w:hAnsi="宋体" w:eastAsia="宋体" w:cs="宋体"/>
          <w:b w:val="0"/>
          <w:bCs/>
          <w:sz w:val="28"/>
          <w:szCs w:val="28"/>
          <w:highlight w:val="none"/>
          <w:u w:val="none"/>
          <w:lang w:eastAsia="zh-CN"/>
        </w:rPr>
        <w:t>（</w:t>
      </w:r>
      <w:r>
        <w:rPr>
          <w:rFonts w:hint="eastAsia" w:ascii="宋体" w:hAnsi="宋体" w:eastAsia="宋体" w:cs="宋体"/>
          <w:b w:val="0"/>
          <w:bCs/>
          <w:sz w:val="28"/>
          <w:szCs w:val="28"/>
          <w:highlight w:val="none"/>
          <w:u w:val="none"/>
          <w:lang w:val="en-US" w:eastAsia="zh-CN"/>
        </w:rPr>
        <w:t>2</w:t>
      </w:r>
      <w:r>
        <w:rPr>
          <w:rFonts w:hint="eastAsia" w:ascii="宋体" w:hAnsi="宋体" w:eastAsia="宋体" w:cs="宋体"/>
          <w:b w:val="0"/>
          <w:bCs/>
          <w:sz w:val="28"/>
          <w:szCs w:val="28"/>
          <w:highlight w:val="none"/>
          <w:u w:val="none"/>
          <w:lang w:eastAsia="zh-CN"/>
        </w:rPr>
        <w:t>）被授权人身份证复印件；</w:t>
      </w:r>
    </w:p>
    <w:p w14:paraId="1CBCFBC3">
      <w:pPr>
        <w:spacing w:line="360" w:lineRule="auto"/>
        <w:rPr>
          <w:rFonts w:hint="eastAsia" w:ascii="宋体" w:hAnsi="宋体" w:eastAsia="宋体" w:cs="宋体"/>
          <w:b w:val="0"/>
          <w:bCs/>
          <w:sz w:val="28"/>
          <w:szCs w:val="28"/>
          <w:highlight w:val="none"/>
          <w:u w:val="none"/>
          <w:lang w:eastAsia="zh-CN"/>
        </w:rPr>
      </w:pPr>
      <w:r>
        <w:rPr>
          <w:rFonts w:hint="eastAsia" w:ascii="宋体" w:hAnsi="宋体" w:eastAsia="宋体" w:cs="宋体"/>
          <w:b w:val="0"/>
          <w:bCs/>
          <w:sz w:val="28"/>
          <w:szCs w:val="28"/>
          <w:highlight w:val="none"/>
          <w:u w:val="none"/>
          <w:lang w:eastAsia="zh-CN"/>
        </w:rPr>
        <w:t>（</w:t>
      </w:r>
      <w:r>
        <w:rPr>
          <w:rFonts w:hint="eastAsia" w:ascii="宋体" w:hAnsi="宋体" w:eastAsia="宋体" w:cs="宋体"/>
          <w:b w:val="0"/>
          <w:bCs/>
          <w:sz w:val="28"/>
          <w:szCs w:val="28"/>
          <w:highlight w:val="none"/>
          <w:u w:val="none"/>
          <w:lang w:val="en-US" w:eastAsia="zh-CN"/>
        </w:rPr>
        <w:t>3</w:t>
      </w:r>
      <w:r>
        <w:rPr>
          <w:rFonts w:hint="eastAsia" w:ascii="宋体" w:hAnsi="宋体" w:eastAsia="宋体" w:cs="宋体"/>
          <w:b w:val="0"/>
          <w:bCs/>
          <w:sz w:val="28"/>
          <w:szCs w:val="28"/>
          <w:highlight w:val="none"/>
          <w:u w:val="none"/>
          <w:lang w:eastAsia="zh-CN"/>
        </w:rPr>
        <w:t>）企业相关资质及施工人员相关从业上岗证；</w:t>
      </w:r>
    </w:p>
    <w:p w14:paraId="39C4EACB">
      <w:pPr>
        <w:spacing w:line="360" w:lineRule="auto"/>
        <w:rPr>
          <w:rFonts w:hint="eastAsia" w:ascii="宋体" w:hAnsi="宋体" w:eastAsia="宋体" w:cs="宋体"/>
          <w:b/>
          <w:bCs/>
          <w:kern w:val="36"/>
          <w:sz w:val="28"/>
          <w:szCs w:val="28"/>
          <w:highlight w:val="none"/>
          <w:lang w:val="en-US" w:eastAsia="zh-CN" w:bidi="ar-SA"/>
        </w:rPr>
      </w:pPr>
      <w:r>
        <w:rPr>
          <w:rFonts w:hint="eastAsia" w:ascii="宋体" w:hAnsi="宋体" w:cs="宋体"/>
          <w:b/>
          <w:bCs/>
          <w:kern w:val="36"/>
          <w:sz w:val="28"/>
          <w:szCs w:val="28"/>
          <w:highlight w:val="none"/>
          <w:lang w:val="en-US" w:eastAsia="zh-CN" w:bidi="ar-SA"/>
        </w:rPr>
        <w:t>注：</w:t>
      </w:r>
      <w:r>
        <w:rPr>
          <w:rFonts w:hint="eastAsia" w:ascii="宋体" w:hAnsi="宋体" w:eastAsia="宋体" w:cs="宋体"/>
          <w:b/>
          <w:bCs/>
          <w:kern w:val="36"/>
          <w:sz w:val="28"/>
          <w:szCs w:val="28"/>
          <w:highlight w:val="none"/>
          <w:lang w:val="en-US" w:eastAsia="zh-CN" w:bidi="ar-SA"/>
        </w:rPr>
        <w:t>标有“★”的要求为资格符合性检查项，若不满足资格检查作不通过处理，为无效响应。</w:t>
      </w:r>
    </w:p>
    <w:p w14:paraId="5C649EDD">
      <w:pPr>
        <w:spacing w:line="360" w:lineRule="auto"/>
        <w:rPr>
          <w:rFonts w:hint="eastAsia" w:ascii="宋体" w:hAnsi="宋体" w:eastAsia="宋体" w:cs="宋体"/>
          <w:b w:val="0"/>
          <w:bCs/>
          <w:sz w:val="28"/>
          <w:szCs w:val="28"/>
          <w:highlight w:val="none"/>
          <w:u w:val="none"/>
          <w:lang w:val="en-US" w:eastAsia="zh-CN"/>
        </w:rPr>
      </w:pPr>
    </w:p>
    <w:p w14:paraId="3D9341F0">
      <w:pPr>
        <w:pStyle w:val="4"/>
        <w:keepNext w:val="0"/>
        <w:keepLines w:val="0"/>
        <w:pageBreakBefore w:val="0"/>
        <w:widowControl w:val="0"/>
        <w:numPr>
          <w:ilvl w:val="0"/>
          <w:numId w:val="0"/>
        </w:numPr>
        <w:kinsoku/>
        <w:wordWrap/>
        <w:overflowPunct/>
        <w:topLinePunct w:val="0"/>
        <w:bidi w:val="0"/>
        <w:snapToGrid/>
        <w:textAlignment w:val="auto"/>
        <w:rPr>
          <w:rFonts w:hint="default" w:ascii="宋体" w:hAnsi="宋体" w:eastAsia="宋体" w:cs="宋体"/>
          <w:b w:val="0"/>
          <w:bCs/>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tis Sans Serif Pro ExtraBold">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15" w:lineRule="auto"/>
      </w:pPr>
      <w:r>
        <w:separator/>
      </w:r>
    </w:p>
  </w:footnote>
  <w:footnote w:type="continuationSeparator" w:id="1">
    <w:p>
      <w:pPr>
        <w:spacing w:before="0" w:after="0" w:line="41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E2725"/>
    <w:multiLevelType w:val="singleLevel"/>
    <w:tmpl w:val="2C4E2725"/>
    <w:lvl w:ilvl="0" w:tentative="0">
      <w:start w:val="1"/>
      <w:numFmt w:val="decimal"/>
      <w:suff w:val="nothing"/>
      <w:lvlText w:val="（%1）"/>
      <w:lvlJc w:val="left"/>
    </w:lvl>
  </w:abstractNum>
  <w:abstractNum w:abstractNumId="1">
    <w:nsid w:val="2D276DF1"/>
    <w:multiLevelType w:val="singleLevel"/>
    <w:tmpl w:val="2D276DF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D5021"/>
    <w:rsid w:val="168B30EF"/>
    <w:rsid w:val="21E91D91"/>
    <w:rsid w:val="50473D4F"/>
    <w:rsid w:val="700D5021"/>
    <w:rsid w:val="744959D0"/>
    <w:rsid w:val="7E42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60" w:after="260" w:line="415"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Rotis Sans Serif Pro ExtraBold" w:hAnsi="Times New Roman" w:eastAsia="Rotis Sans Serif Pro ExtraBold" w:cs="Rotis Sans Serif Pro ExtraBold"/>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1992</Characters>
  <Lines>0</Lines>
  <Paragraphs>0</Paragraphs>
  <TotalTime>5</TotalTime>
  <ScaleCrop>false</ScaleCrop>
  <LinksUpToDate>false</LinksUpToDate>
  <CharactersWithSpaces>2034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2025-09-17T12:19:00Z</dcterms:created>
  <dc:creator>Anivia</dc:creator>
  <cp:lastModifiedBy>Administrator</cp:lastModifiedBy>
  <dcterms:modified xsi:type="dcterms:W3CDTF">2025-09-22T05:23:27Z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2768B206294746DBAEDB180CB947A4AD_13</vt:lpwstr>
  </property>
  <property fmtid="{D5CDD505-2E9C-101B-9397-08002B2CF9AE}" pid="4" name="KSOTemplateDocerSaveRecord">
    <vt:lpwstr>eyJoZGlkIjoiMTVhOTkzYThiOGQ0YzJjZDdhNDNmNjYxN2Q3NGQzZGYifQ==</vt:lpwstr>
  </property>
</Properties>
</file>