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8DB84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上海商学院奉浦校区电力改造项目前期物探三方比价需求</w:t>
      </w:r>
    </w:p>
    <w:p w14:paraId="7B014B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项目名称：上海商学院奉浦校区电力改造项目前期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物探项目</w:t>
      </w:r>
    </w:p>
    <w:p w14:paraId="7769F4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项目内容：上海商学院奉浦校区电力改造项目范围内地下管线物探、地形测绘及电缆检测</w:t>
      </w:r>
    </w:p>
    <w:p w14:paraId="729BD2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项目预算：</w:t>
      </w:r>
      <w:r>
        <w:rPr>
          <w:rFonts w:hint="eastAsia"/>
          <w:sz w:val="28"/>
          <w:szCs w:val="28"/>
          <w:lang w:val="en-US" w:eastAsia="zh-CN"/>
        </w:rPr>
        <w:t>5.35万元</w:t>
      </w:r>
    </w:p>
    <w:p w14:paraId="112BAF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物探范围：约1万平方米</w:t>
      </w:r>
    </w:p>
    <w:p w14:paraId="4DE5C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物探深度：地下5米</w:t>
      </w:r>
    </w:p>
    <w:p w14:paraId="531153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服务期：合同签订后1天完成需探测施工及出具符合国家认可报告</w:t>
      </w:r>
    </w:p>
    <w:p w14:paraId="10B5BF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36"/>
          <w:sz w:val="28"/>
          <w:szCs w:val="28"/>
          <w:highlight w:val="none"/>
          <w:lang w:val="en-US" w:eastAsia="zh-CN" w:bidi="ar-SA"/>
        </w:rPr>
        <w:t>★</w:t>
      </w:r>
      <w:r>
        <w:rPr>
          <w:rFonts w:hint="eastAsia"/>
          <w:sz w:val="28"/>
          <w:szCs w:val="28"/>
          <w:lang w:val="en-US" w:eastAsia="zh-CN"/>
        </w:rPr>
        <w:t>合格的比价单位必须同时具备以下条件</w:t>
      </w:r>
    </w:p>
    <w:p w14:paraId="3C3C1C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/>
          <w:kern w:val="0"/>
          <w:sz w:val="28"/>
          <w:szCs w:val="28"/>
        </w:rPr>
        <w:t>合格的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比价单位</w:t>
      </w:r>
      <w:r>
        <w:rPr>
          <w:rFonts w:hint="eastAsia" w:ascii="宋体" w:hAnsi="宋体"/>
          <w:kern w:val="0"/>
          <w:sz w:val="28"/>
          <w:szCs w:val="28"/>
        </w:rPr>
        <w:t>除具备政府采购法第二十二条规定的条件外还应具备以下资格条件：</w:t>
      </w:r>
    </w:p>
    <w:p w14:paraId="54D5E39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在中华人民共和国境内注册，具有独立法人资格及相应经营范围；</w:t>
      </w:r>
    </w:p>
    <w:p w14:paraId="131C94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未被“信用中国网（http://www.creditchina.gov.cn/）”或“中国政府采购网（http://www.ccgp.gov.cn/cr/list）”列入不诚信单位和禁止参加政府采购活动；</w:t>
      </w:r>
    </w:p>
    <w:p w14:paraId="6B8C40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单位需有固定经营场所；</w:t>
      </w:r>
    </w:p>
    <w:p w14:paraId="60164F4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两年内未发生安全责任事故；</w:t>
      </w:r>
    </w:p>
    <w:p w14:paraId="292A1C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参比单位必须有岩土工程、工程测量乙级以上资质（包括乙级），并在有效期内；</w:t>
      </w:r>
    </w:p>
    <w:p w14:paraId="4A81C0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付款方式：</w:t>
      </w:r>
    </w:p>
    <w:p w14:paraId="145478C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合同正式签署后甲方向乙方预付合同总价</w:t>
      </w:r>
      <w:r>
        <w:rPr>
          <w:rFonts w:hint="eastAsia" w:ascii="宋体" w:hAnsi="宋体"/>
          <w:sz w:val="28"/>
          <w:szCs w:val="28"/>
          <w:lang w:val="en-US" w:eastAsia="zh-CN"/>
        </w:rPr>
        <w:t>30%；</w:t>
      </w:r>
    </w:p>
    <w:p w14:paraId="6744FE2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物探施工完成后甲方向乙方支付合同总价30%；</w:t>
      </w:r>
    </w:p>
    <w:p w14:paraId="5AD123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施工完成并出具相应报告，甲方对乙方服务质量考核验收合格后，甲方向乙方支付合同总价的40%。</w:t>
      </w:r>
    </w:p>
    <w:p w14:paraId="2B3E6F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验收方法：</w:t>
      </w:r>
    </w:p>
    <w:p w14:paraId="51CBB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2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按合同和比价文件进行验收。甲乙双方代表对服务进行验收，验收标准为：</w:t>
      </w:r>
    </w:p>
    <w:p w14:paraId="3EDD9B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（1）合同内容；</w:t>
      </w:r>
    </w:p>
    <w:p w14:paraId="0C4B4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（2）项目比价要求；</w:t>
      </w:r>
    </w:p>
    <w:p w14:paraId="347D6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（3）乙方对本项目做出的书面承诺；</w:t>
      </w:r>
    </w:p>
    <w:p w14:paraId="03C6E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（4）国家标准、行业标准及上海市有关的服务标准。</w:t>
      </w:r>
    </w:p>
    <w:p w14:paraId="20E555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36"/>
          <w:sz w:val="28"/>
          <w:szCs w:val="28"/>
          <w:highlight w:val="none"/>
          <w:lang w:val="en-US" w:eastAsia="zh-CN" w:bidi="ar-SA"/>
        </w:rPr>
        <w:t>★</w:t>
      </w:r>
      <w:r>
        <w:rPr>
          <w:rFonts w:hint="eastAsia" w:ascii="宋体" w:hAnsi="宋体"/>
          <w:sz w:val="28"/>
          <w:szCs w:val="28"/>
          <w:lang w:val="en-US" w:eastAsia="zh-CN"/>
        </w:rPr>
        <w:t>比价须上传材料（加盖公章）</w:t>
      </w:r>
    </w:p>
    <w:p w14:paraId="451F80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法定代表人授权书；</w:t>
      </w:r>
    </w:p>
    <w:p w14:paraId="71E340E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被授权人身份证复印件</w:t>
      </w:r>
    </w:p>
    <w:p w14:paraId="735C0C2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 w:ascii="宋体" w:hAnsi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u w:val="none"/>
        </w:rPr>
        <w:t>参加本项目采购活动前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u w:val="none"/>
        </w:rPr>
        <w:t>年内在经营活动中没有重大违法记录的书面声明；</w:t>
      </w:r>
    </w:p>
    <w:p w14:paraId="01912B6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 w:ascii="宋体" w:hAnsi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u w:val="none"/>
          <w:lang w:val="en-US" w:eastAsia="zh-CN"/>
        </w:rPr>
        <w:t>企业相关资质；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DDB39"/>
    <w:multiLevelType w:val="singleLevel"/>
    <w:tmpl w:val="C1ADDB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A05C7BE"/>
    <w:multiLevelType w:val="singleLevel"/>
    <w:tmpl w:val="FA05C7BE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1D32C66"/>
    <w:multiLevelType w:val="singleLevel"/>
    <w:tmpl w:val="01D32C6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6EA08FF"/>
    <w:multiLevelType w:val="singleLevel"/>
    <w:tmpl w:val="66EA08F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9221C"/>
    <w:rsid w:val="0B732812"/>
    <w:rsid w:val="375D0D8C"/>
    <w:rsid w:val="5399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652</Characters>
  <Lines>0</Lines>
  <Paragraphs>0</Paragraphs>
  <TotalTime>0</TotalTime>
  <ScaleCrop>false</ScaleCrop>
  <LinksUpToDate>false</LinksUpToDate>
  <CharactersWithSpaces>652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2025-09-17T04:27:00Z</dcterms:created>
  <dc:creator>Administrator</dc:creator>
  <cp:lastModifiedBy>Administrator</cp:lastModifiedBy>
  <dcterms:modified xsi:type="dcterms:W3CDTF">2025-09-18T08:00:58Z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77389CA661FD4DC999AAE7CB58013F76_11</vt:lpwstr>
  </property>
  <property fmtid="{D5CDD505-2E9C-101B-9397-08002B2CF9AE}" pid="4" name="KSOTemplateDocerSaveRecord">
    <vt:lpwstr>eyJoZGlkIjoiMTVhOTkzYThiOGQ0YzJjZDdhNDNmNjYxN2Q3NGQzZGYifQ==</vt:lpwstr>
  </property>
</Properties>
</file>