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1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奉浦、中山西路校区燃气报警维保服务比价需求</w:t>
      </w:r>
    </w:p>
    <w:p w14:paraId="7D343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项目名称：奉浦、中山西路校区燃气报警维保服务</w:t>
      </w:r>
    </w:p>
    <w:p w14:paraId="6244E9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项目内容：奉浦、中山西路校区燃气报警维保服务</w:t>
      </w:r>
    </w:p>
    <w:p w14:paraId="7B64BF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预算：3.745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万</w:t>
      </w:r>
    </w:p>
    <w:p w14:paraId="6C0566DC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宋体" w:hAnsi="宋体"/>
          <w:b w:val="0"/>
          <w:bCs/>
          <w:sz w:val="32"/>
          <w:szCs w:val="32"/>
        </w:rPr>
        <w:t>合格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比价单位</w:t>
      </w:r>
      <w:r>
        <w:rPr>
          <w:rFonts w:hint="eastAsia" w:ascii="宋体" w:hAnsi="宋体"/>
          <w:b w:val="0"/>
          <w:bCs/>
          <w:sz w:val="32"/>
          <w:szCs w:val="32"/>
        </w:rPr>
        <w:t>必须同时具备以下条件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并上传相关资质、证件承若书等材料</w:t>
      </w:r>
    </w:p>
    <w:p w14:paraId="1CAFD604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合格的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比价单位</w:t>
      </w:r>
      <w:r>
        <w:rPr>
          <w:rFonts w:hint="eastAsia" w:ascii="宋体" w:hAnsi="宋体"/>
          <w:kern w:val="0"/>
          <w:sz w:val="32"/>
          <w:szCs w:val="32"/>
        </w:rPr>
        <w:t>除具备政府采购法第二十二条规定的条件外还应具备以下资格条件：</w:t>
      </w:r>
    </w:p>
    <w:p w14:paraId="6EEEC268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在中华人民共和国境内注册。</w:t>
      </w:r>
    </w:p>
    <w:p w14:paraId="3CF0537F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具有从事燃气技术等领域的技术服务、燃气器具安装资质。</w:t>
      </w:r>
    </w:p>
    <w:p w14:paraId="1EF40FED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两年内未发生安全责任事故。</w:t>
      </w:r>
    </w:p>
    <w:p w14:paraId="0DD90FC3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维修人员必须要燃气从业上岗证、防爆电工证等。</w:t>
      </w:r>
    </w:p>
    <w:p w14:paraId="3344A0E9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  <w:t>单位需</w:t>
      </w:r>
      <w:r>
        <w:rPr>
          <w:rFonts w:hint="eastAsia" w:ascii="Arial" w:hAnsi="Arial" w:eastAsia="宋体"/>
          <w:b w:val="0"/>
          <w:bCs w:val="0"/>
          <w:color w:val="auto"/>
          <w:position w:val="0"/>
          <w:sz w:val="32"/>
          <w:szCs w:val="32"/>
          <w:lang w:eastAsia="zh-CN"/>
        </w:rPr>
        <w:t>有</w:t>
      </w:r>
      <w:r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  <w:t>有固定经营场所。</w:t>
      </w:r>
    </w:p>
    <w:p w14:paraId="709228F7">
      <w:pPr>
        <w:widowControl/>
        <w:numPr>
          <w:ilvl w:val="0"/>
          <w:numId w:val="0"/>
        </w:numPr>
        <w:spacing w:before="100" w:after="100" w:line="360" w:lineRule="auto"/>
        <w:ind w:firstLine="320" w:firstLineChars="1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kern w:val="0"/>
          <w:sz w:val="32"/>
          <w:szCs w:val="32"/>
          <w:lang w:val="en-US" w:eastAsia="zh-CN"/>
        </w:rPr>
        <w:t>五、比价文件其他要求：</w:t>
      </w:r>
    </w:p>
    <w:p w14:paraId="2CAA4533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kern w:val="0"/>
          <w:sz w:val="32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★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本项目预算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3.77万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single"/>
        </w:rPr>
        <w:t>响应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</w:rPr>
        <w:t>报价超过预算金额为无效响应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；</w:t>
      </w:r>
    </w:p>
    <w:p w14:paraId="5649720E">
      <w:pPr>
        <w:widowControl/>
        <w:numPr>
          <w:ilvl w:val="0"/>
          <w:numId w:val="0"/>
        </w:numPr>
        <w:spacing w:before="100" w:after="100" w:line="360" w:lineRule="auto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（2）服务期：合同签订后1年内；</w:t>
      </w:r>
    </w:p>
    <w:p w14:paraId="1D81584D">
      <w:pPr>
        <w:widowControl/>
        <w:numPr>
          <w:ilvl w:val="0"/>
          <w:numId w:val="0"/>
        </w:numPr>
        <w:spacing w:before="100" w:after="100" w:line="360" w:lineRule="auto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（3）付款方式：按季度支付；</w:t>
      </w:r>
    </w:p>
    <w:p w14:paraId="451F2B00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六、</w:t>
      </w:r>
      <w:r>
        <w:rPr>
          <w:rFonts w:ascii="宋体" w:hAnsi="宋体" w:eastAsia="宋体" w:cs="宋体"/>
          <w:b w:val="0"/>
          <w:bCs/>
          <w:sz w:val="28"/>
          <w:szCs w:val="28"/>
          <w:highlight w:val="none"/>
        </w:rPr>
        <w:t>★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比价需上传材料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u w:val="none"/>
          <w:lang w:val="en-US"/>
        </w:rPr>
        <w:t>(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加盖公章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u w:val="none"/>
          <w:lang w:val="en-US"/>
        </w:rPr>
        <w:t>)</w:t>
      </w:r>
      <w:r>
        <w:rPr>
          <w:rFonts w:ascii="宋体" w:hAnsi="宋体" w:eastAsia="宋体" w:cs="宋体"/>
          <w:b w:val="0"/>
          <w:bCs/>
          <w:sz w:val="21"/>
          <w:szCs w:val="21"/>
          <w:highlight w:val="none"/>
          <w:u w:val="none"/>
        </w:rPr>
        <w:t>：</w:t>
      </w:r>
    </w:p>
    <w:p w14:paraId="139073E9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1、法定代表人授权书；</w:t>
      </w:r>
    </w:p>
    <w:p w14:paraId="60A69814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2、被授权人身份证复印件；</w:t>
      </w:r>
    </w:p>
    <w:p w14:paraId="232B68EC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3、企业相关资质及施工人员从业资格证；</w:t>
      </w:r>
    </w:p>
    <w:p w14:paraId="39C4EACB">
      <w:pPr>
        <w:spacing w:line="360" w:lineRule="auto"/>
        <w:rPr>
          <w:rFonts w:hint="eastAsia" w:ascii="宋体" w:hAnsi="宋体" w:eastAsia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t>标有“★”的要求为资格符合性检查项，若不满足资格检查作不通过处理，为无效响应。</w:t>
      </w:r>
    </w:p>
    <w:p w14:paraId="22BCDFD4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t>附件：设备主机、防爆探测其他点位等明细：</w:t>
      </w:r>
    </w:p>
    <w:p w14:paraId="34087C17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1EF610A2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59065BE6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3A3EA0AD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61F5472F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36"/>
          <w:sz w:val="21"/>
          <w:szCs w:val="21"/>
          <w:highlight w:val="none"/>
          <w:lang w:val="zh-CN" w:eastAsia="zh-CN" w:bidi="ar-SA"/>
        </w:rPr>
      </w:pPr>
    </w:p>
    <w:p w14:paraId="4C31732C">
      <w:pPr>
        <w:spacing w:line="360" w:lineRule="auto"/>
        <w:ind w:firstLine="281" w:firstLineChars="100"/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</w:pPr>
    </w:p>
    <w:p w14:paraId="10374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center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6B22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奉浦、中山西路校区燃气报警设施、设备明细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802"/>
        <w:gridCol w:w="3632"/>
        <w:gridCol w:w="1884"/>
        <w:gridCol w:w="2281"/>
      </w:tblGrid>
      <w:tr w14:paraId="027B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5AEF3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02" w:type="dxa"/>
          </w:tcPr>
          <w:p w14:paraId="3AEC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3632" w:type="dxa"/>
          </w:tcPr>
          <w:p w14:paraId="7D4C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1884" w:type="dxa"/>
          </w:tcPr>
          <w:p w14:paraId="4DEFC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281" w:type="dxa"/>
          </w:tcPr>
          <w:p w14:paraId="5B07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</w:tr>
      <w:tr w14:paraId="0C06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57AA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一、</w:t>
            </w:r>
          </w:p>
        </w:tc>
        <w:tc>
          <w:tcPr>
            <w:tcW w:w="2802" w:type="dxa"/>
          </w:tcPr>
          <w:p w14:paraId="7C57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中山西路校区</w:t>
            </w:r>
          </w:p>
        </w:tc>
        <w:tc>
          <w:tcPr>
            <w:tcW w:w="3632" w:type="dxa"/>
          </w:tcPr>
          <w:p w14:paraId="281A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 w14:paraId="041B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 w14:paraId="58C7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C68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21EB6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6633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可燃气体报警主机</w:t>
            </w:r>
          </w:p>
        </w:tc>
        <w:tc>
          <w:tcPr>
            <w:tcW w:w="3632" w:type="dxa"/>
          </w:tcPr>
          <w:p w14:paraId="2308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SFJK-201、SFJK-200</w:t>
            </w:r>
          </w:p>
        </w:tc>
        <w:tc>
          <w:tcPr>
            <w:tcW w:w="1884" w:type="dxa"/>
          </w:tcPr>
          <w:p w14:paraId="2CF8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2281" w:type="dxa"/>
          </w:tcPr>
          <w:p w14:paraId="2682C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1364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4976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2212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防爆气体探测点位</w:t>
            </w:r>
          </w:p>
        </w:tc>
        <w:tc>
          <w:tcPr>
            <w:tcW w:w="3632" w:type="dxa"/>
          </w:tcPr>
          <w:p w14:paraId="1862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GTQ-SF6100A</w:t>
            </w:r>
          </w:p>
        </w:tc>
        <w:tc>
          <w:tcPr>
            <w:tcW w:w="1884" w:type="dxa"/>
          </w:tcPr>
          <w:p w14:paraId="0BA5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2281" w:type="dxa"/>
          </w:tcPr>
          <w:p w14:paraId="0F2B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 w14:paraId="1822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1C5C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2207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联动控制箱</w:t>
            </w:r>
          </w:p>
        </w:tc>
        <w:tc>
          <w:tcPr>
            <w:tcW w:w="3632" w:type="dxa"/>
          </w:tcPr>
          <w:p w14:paraId="2B11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SFLDX-1200</w:t>
            </w:r>
          </w:p>
        </w:tc>
        <w:tc>
          <w:tcPr>
            <w:tcW w:w="1884" w:type="dxa"/>
          </w:tcPr>
          <w:p w14:paraId="1423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2281" w:type="dxa"/>
          </w:tcPr>
          <w:p w14:paraId="4C84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1B14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2BD2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2D91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防爆紧急切断阀</w:t>
            </w:r>
          </w:p>
        </w:tc>
        <w:tc>
          <w:tcPr>
            <w:tcW w:w="3632" w:type="dxa"/>
          </w:tcPr>
          <w:p w14:paraId="3F22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 w14:paraId="5926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2281" w:type="dxa"/>
          </w:tcPr>
          <w:p w14:paraId="419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5BE9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4549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二</w:t>
            </w:r>
          </w:p>
        </w:tc>
        <w:tc>
          <w:tcPr>
            <w:tcW w:w="2802" w:type="dxa"/>
          </w:tcPr>
          <w:p w14:paraId="0025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奉浦校区</w:t>
            </w:r>
          </w:p>
        </w:tc>
        <w:tc>
          <w:tcPr>
            <w:tcW w:w="3632" w:type="dxa"/>
          </w:tcPr>
          <w:p w14:paraId="5C98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 w14:paraId="6B9C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 w14:paraId="55E5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CCE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178C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32353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可燃气体报警主机</w:t>
            </w:r>
          </w:p>
        </w:tc>
        <w:tc>
          <w:tcPr>
            <w:tcW w:w="3632" w:type="dxa"/>
          </w:tcPr>
          <w:p w14:paraId="649E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SFJK-201/SFJK-200</w:t>
            </w:r>
          </w:p>
        </w:tc>
        <w:tc>
          <w:tcPr>
            <w:tcW w:w="1884" w:type="dxa"/>
          </w:tcPr>
          <w:p w14:paraId="3D24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2281" w:type="dxa"/>
          </w:tcPr>
          <w:p w14:paraId="7F3E8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6785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77FC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2F14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防爆气体探测点位</w:t>
            </w:r>
          </w:p>
        </w:tc>
        <w:tc>
          <w:tcPr>
            <w:tcW w:w="3632" w:type="dxa"/>
          </w:tcPr>
          <w:p w14:paraId="3CB7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GTQ-SF6100</w:t>
            </w:r>
          </w:p>
        </w:tc>
        <w:tc>
          <w:tcPr>
            <w:tcW w:w="1884" w:type="dxa"/>
          </w:tcPr>
          <w:p w14:paraId="1BC6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2281" w:type="dxa"/>
          </w:tcPr>
          <w:p w14:paraId="6534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</w:tr>
      <w:tr w14:paraId="09D2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6B66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656C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联动控制箱</w:t>
            </w:r>
          </w:p>
        </w:tc>
        <w:tc>
          <w:tcPr>
            <w:tcW w:w="3632" w:type="dxa"/>
          </w:tcPr>
          <w:p w14:paraId="679A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SFLDX-1200</w:t>
            </w:r>
          </w:p>
        </w:tc>
        <w:tc>
          <w:tcPr>
            <w:tcW w:w="1884" w:type="dxa"/>
          </w:tcPr>
          <w:p w14:paraId="405D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台</w:t>
            </w:r>
          </w:p>
        </w:tc>
        <w:tc>
          <w:tcPr>
            <w:tcW w:w="2281" w:type="dxa"/>
          </w:tcPr>
          <w:p w14:paraId="4663D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306E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 w14:paraId="70AA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02" w:type="dxa"/>
          </w:tcPr>
          <w:p w14:paraId="19CC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防爆紧急切断阀</w:t>
            </w:r>
          </w:p>
        </w:tc>
        <w:tc>
          <w:tcPr>
            <w:tcW w:w="3632" w:type="dxa"/>
          </w:tcPr>
          <w:p w14:paraId="7EE5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 w14:paraId="6E44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2281" w:type="dxa"/>
          </w:tcPr>
          <w:p w14:paraId="4481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</w:tbl>
    <w:p w14:paraId="20871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A449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00264"/>
    <w:multiLevelType w:val="singleLevel"/>
    <w:tmpl w:val="9A3002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C4B187"/>
    <w:multiLevelType w:val="singleLevel"/>
    <w:tmpl w:val="B3C4B18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TkzYThiOGQ0YzJjZDdhNDNmNjYxN2Q3NGQzZGYifQ=="/>
  </w:docVars>
  <w:rsids>
    <w:rsidRoot w:val="67FA4E13"/>
    <w:rsid w:val="0DB66DA8"/>
    <w:rsid w:val="12393FB6"/>
    <w:rsid w:val="14F43596"/>
    <w:rsid w:val="1926139A"/>
    <w:rsid w:val="1BE45811"/>
    <w:rsid w:val="1FEE7987"/>
    <w:rsid w:val="226D129E"/>
    <w:rsid w:val="231A640E"/>
    <w:rsid w:val="262F52C0"/>
    <w:rsid w:val="2B13559E"/>
    <w:rsid w:val="3A703B96"/>
    <w:rsid w:val="3B50219A"/>
    <w:rsid w:val="3FF97B61"/>
    <w:rsid w:val="42987DC8"/>
    <w:rsid w:val="52374B1E"/>
    <w:rsid w:val="52F90D3C"/>
    <w:rsid w:val="61605AB5"/>
    <w:rsid w:val="634B1852"/>
    <w:rsid w:val="66854161"/>
    <w:rsid w:val="67FA4E13"/>
    <w:rsid w:val="6BAF422F"/>
    <w:rsid w:val="6C9E6257"/>
    <w:rsid w:val="6EA70311"/>
    <w:rsid w:val="73383A70"/>
    <w:rsid w:val="74785DCF"/>
    <w:rsid w:val="7DFE65D4"/>
    <w:rsid w:val="7F6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572"/>
      </w:tabs>
      <w:spacing w:before="240" w:after="64" w:line="320" w:lineRule="auto"/>
      <w:ind w:left="1572" w:hanging="1152"/>
      <w:outlineLvl w:val="5"/>
    </w:pPr>
    <w:rPr>
      <w:rFonts w:ascii="Arial" w:hAnsi="Arial" w:eastAsia="黑体"/>
      <w:b/>
      <w:bCs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0">
    <w:name w:val="列出段落1"/>
    <w:basedOn w:val="1"/>
    <w:qFormat/>
    <w:uiPriority w:val="34"/>
    <w:pPr>
      <w:spacing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614</Characters>
  <Lines>0</Lines>
  <Paragraphs>0</Paragraphs>
  <TotalTime>27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2022-05-23T01:10:00Z</dcterms:created>
  <dc:creator>Administrator</dc:creator>
  <cp:lastModifiedBy>Administrator</cp:lastModifiedBy>
  <dcterms:modified xsi:type="dcterms:W3CDTF">2025-08-05T03:33:44Z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2B2252A1D19D47BDAB2B07B9552C0F23</vt:lpwstr>
  </property>
  <property fmtid="{D5CDD505-2E9C-101B-9397-08002B2CF9AE}" pid="4" name="KSOTemplateDocerSaveRecord">
    <vt:lpwstr>eyJoZGlkIjoiMTVhOTkzYThiOGQ0YzJjZDdhNDNmNjYxN2Q3NGQzZGYifQ==</vt:lpwstr>
  </property>
</Properties>
</file>