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D93F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firstLine="602" w:firstLineChars="200"/>
        <w:jc w:val="center"/>
        <w:textAlignment w:val="auto"/>
        <w:rPr>
          <w:rFonts w:hint="eastAsia" w:eastAsiaTheme="minorEastAsia"/>
          <w:b/>
          <w:bCs/>
          <w:sz w:val="30"/>
          <w:szCs w:val="30"/>
          <w:lang w:val="en-US" w:eastAsia="zh-CN"/>
        </w:rPr>
      </w:pPr>
      <w:bookmarkStart w:id="0" w:name="_GoBack"/>
      <w:r>
        <w:rPr>
          <w:rFonts w:hint="eastAsia"/>
          <w:b/>
          <w:bCs/>
          <w:sz w:val="30"/>
          <w:szCs w:val="30"/>
          <w:lang w:val="en-US" w:eastAsia="zh-CN"/>
        </w:rPr>
        <w:t>需求</w:t>
      </w:r>
    </w:p>
    <w:bookmarkEnd w:id="0"/>
    <w:p w14:paraId="34855F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基于消费交易大数据，对2022至2024三年度上海市主要行政区消费总量、各大类消费、本外地消费者构成及画像等进行分析及趋势评估。具体分析内容为：</w:t>
      </w:r>
    </w:p>
    <w:p w14:paraId="2144A4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）消费概览：时间跨度为2022年1月-2024年12月；字段包含区、行业、金额、笔数、夜间金额占比、夜间笔数占比、夜间游客金额占比、夜间游客笔数占比、女性金额占比、女性笔数占比；记录数为上海市16个行政区、36个月和食住行游购娱6大行业，共计3456条数据。</w:t>
      </w:r>
    </w:p>
    <w:p w14:paraId="73E8AE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2）消费等级：时间跨度为2022年1月-2024年12月；字段包括消费能力分组、去年金额、去年笔数、去年客单价、今年金额、今年笔数、今年客单价；记录数为16个行政区、36个月和5类人群，共计2880条数据。</w:t>
      </w:r>
    </w:p>
    <w:p w14:paraId="2A734B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3）小微经营：时间跨度为2022年1月-2024年12月；字段包括区、行业、小微金额、小微笔数；记录数为16个行政区、36个月和餐饮百货2大行业，共计1152条数据。</w:t>
      </w:r>
    </w:p>
    <w:p w14:paraId="79BE9C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4）游客消费：时间跨度为2022年1月-2024年12月；字段包括区、游客金额占比、游客笔数占比；记录数为16个行政区、36个月和31个省市自治区（除沪、港、澳、台），共计17856条数据。</w:t>
      </w:r>
    </w:p>
    <w:p w14:paraId="4403B0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5）入境贡献：时间跨度为2024年1月-2024年12月；字段包括区、入境消费客单价、入境笔数环比；记录数为12条数据。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245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2025-07-28T09:06:46Z</dcterms:created>
  <dc:creator>gy</dc:creator>
  <cp:lastModifiedBy>惊鸿</cp:lastModifiedBy>
  <dcterms:modified xsi:type="dcterms:W3CDTF">2025-07-28T09:08:07Z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eyJoZGlkIjoiOGRiYTJlZTQ1MmExMzczMTg1YjEwYjhjNzA4ZDgzYTciLCJ1c2VySWQiOiI0ODgyNTY4NzYifQ==</vt:lpwstr>
  </property>
  <property fmtid="{D5CDD505-2E9C-101B-9397-08002B2CF9AE}" pid="4" name="ICV">
    <vt:lpwstr>2B565BE24C3842B190F93E66539D9825_12</vt:lpwstr>
  </property>
</Properties>
</file>