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C0" w:rsidRPr="00E8134D" w:rsidRDefault="00E8134D" w:rsidP="00392315">
      <w:pPr>
        <w:snapToGrid w:val="0"/>
        <w:spacing w:line="384" w:lineRule="auto"/>
        <w:jc w:val="center"/>
        <w:rPr>
          <w:rFonts w:ascii="黑体" w:eastAsia="黑体" w:hAnsi="黑体"/>
          <w:b/>
          <w:sz w:val="32"/>
          <w:szCs w:val="32"/>
        </w:rPr>
      </w:pPr>
      <w:r w:rsidRPr="00E8134D">
        <w:rPr>
          <w:rFonts w:ascii="黑体" w:eastAsia="黑体" w:hAnsi="黑体" w:hint="eastAsia"/>
          <w:b/>
          <w:sz w:val="32"/>
          <w:szCs w:val="32"/>
        </w:rPr>
        <w:t>关于</w:t>
      </w:r>
      <w:r w:rsidR="00E86CE4" w:rsidRPr="00E86CE4">
        <w:rPr>
          <w:rFonts w:ascii="黑体" w:eastAsia="黑体" w:hAnsi="黑体" w:hint="eastAsia"/>
          <w:b/>
          <w:sz w:val="32"/>
          <w:szCs w:val="32"/>
        </w:rPr>
        <w:t>国研网全球智库洞察平台</w:t>
      </w:r>
      <w:r w:rsidRPr="00E8134D">
        <w:rPr>
          <w:rFonts w:ascii="黑体" w:eastAsia="黑体" w:hAnsi="黑体" w:hint="eastAsia"/>
          <w:b/>
          <w:sz w:val="32"/>
          <w:szCs w:val="32"/>
        </w:rPr>
        <w:t>的单一来源采购申请</w:t>
      </w:r>
    </w:p>
    <w:p w:rsidR="001540A8" w:rsidRDefault="00E8134D" w:rsidP="00392315">
      <w:pPr>
        <w:snapToGrid w:val="0"/>
        <w:spacing w:line="384" w:lineRule="auto"/>
        <w:rPr>
          <w:rFonts w:ascii="仿宋" w:eastAsia="仿宋" w:hAnsi="仿宋"/>
          <w:sz w:val="28"/>
          <w:szCs w:val="28"/>
        </w:rPr>
      </w:pPr>
      <w:r>
        <w:rPr>
          <w:rFonts w:ascii="仿宋" w:eastAsia="仿宋" w:hAnsi="仿宋" w:hint="eastAsia"/>
          <w:sz w:val="28"/>
          <w:szCs w:val="28"/>
        </w:rPr>
        <w:t>资产处：</w:t>
      </w:r>
    </w:p>
    <w:p w:rsidR="00E86CE4" w:rsidRPr="00E86CE4" w:rsidRDefault="00E86CE4" w:rsidP="00E86CE4">
      <w:pPr>
        <w:widowControl/>
        <w:ind w:firstLineChars="200" w:firstLine="560"/>
        <w:jc w:val="left"/>
        <w:rPr>
          <w:rFonts w:ascii="仿宋" w:eastAsia="仿宋" w:hAnsi="仿宋"/>
          <w:sz w:val="28"/>
          <w:szCs w:val="28"/>
        </w:rPr>
      </w:pPr>
      <w:r w:rsidRPr="00E86CE4">
        <w:rPr>
          <w:rFonts w:ascii="仿宋" w:eastAsia="仿宋" w:hAnsi="仿宋"/>
          <w:sz w:val="28"/>
          <w:szCs w:val="28"/>
        </w:rPr>
        <w:t>在当前全球格局深度演变、政策研究数字化加速的背景下，及时获取国际顶级智库的前沿洞察已成为支撑国家战略决策的关键能力。作为聚焦商贸流通、国际商务等学科的应用型高校，</w:t>
      </w:r>
      <w:r>
        <w:rPr>
          <w:rFonts w:ascii="仿宋" w:eastAsia="仿宋" w:hAnsi="仿宋" w:hint="eastAsia"/>
          <w:sz w:val="28"/>
          <w:szCs w:val="28"/>
        </w:rPr>
        <w:t>我</w:t>
      </w:r>
      <w:r w:rsidRPr="00E86CE4">
        <w:rPr>
          <w:rFonts w:ascii="仿宋" w:eastAsia="仿宋" w:hAnsi="仿宋"/>
          <w:sz w:val="28"/>
          <w:szCs w:val="28"/>
        </w:rPr>
        <w:t>校亟需国际前沿智库资源支撑高水平科研与决策咨询服务。</w:t>
      </w:r>
      <w:r>
        <w:rPr>
          <w:rFonts w:ascii="仿宋" w:eastAsia="仿宋" w:hAnsi="仿宋" w:hint="eastAsia"/>
          <w:sz w:val="28"/>
          <w:szCs w:val="28"/>
        </w:rPr>
        <w:t>国研网</w:t>
      </w:r>
      <w:r>
        <w:rPr>
          <w:rFonts w:ascii="仿宋" w:eastAsia="仿宋" w:hAnsi="仿宋"/>
          <w:sz w:val="28"/>
          <w:szCs w:val="28"/>
        </w:rPr>
        <w:t>全球智库洞察平台</w:t>
      </w:r>
      <w:r w:rsidRPr="00E86CE4">
        <w:rPr>
          <w:rFonts w:ascii="仿宋" w:eastAsia="仿宋" w:hAnsi="仿宋"/>
          <w:sz w:val="28"/>
          <w:szCs w:val="28"/>
        </w:rPr>
        <w:t>整合104家全球头部智库资源及1.8万名专家成果，提供旗舰报告、热点专题、智库动态等七大维度深度分析，</w:t>
      </w:r>
      <w:r>
        <w:rPr>
          <w:rFonts w:ascii="仿宋" w:eastAsia="仿宋" w:hAnsi="仿宋" w:hint="eastAsia"/>
          <w:sz w:val="28"/>
          <w:szCs w:val="28"/>
        </w:rPr>
        <w:t>可</w:t>
      </w:r>
      <w:r w:rsidRPr="00E86CE4">
        <w:rPr>
          <w:rFonts w:ascii="仿宋" w:eastAsia="仿宋" w:hAnsi="仿宋"/>
          <w:sz w:val="28"/>
          <w:szCs w:val="28"/>
        </w:rPr>
        <w:t>为</w:t>
      </w:r>
      <w:r>
        <w:rPr>
          <w:rFonts w:ascii="仿宋" w:eastAsia="仿宋" w:hAnsi="仿宋" w:hint="eastAsia"/>
          <w:sz w:val="28"/>
          <w:szCs w:val="28"/>
        </w:rPr>
        <w:t>我校</w:t>
      </w:r>
      <w:r w:rsidRPr="00E86CE4">
        <w:rPr>
          <w:rFonts w:ascii="仿宋" w:eastAsia="仿宋" w:hAnsi="仿宋"/>
          <w:sz w:val="28"/>
          <w:szCs w:val="28"/>
        </w:rPr>
        <w:t>在国际商务</w:t>
      </w:r>
      <w:r>
        <w:rPr>
          <w:rFonts w:ascii="仿宋" w:eastAsia="仿宋" w:hAnsi="仿宋" w:hint="eastAsia"/>
          <w:sz w:val="28"/>
          <w:szCs w:val="28"/>
        </w:rPr>
        <w:t>、旅游管理</w:t>
      </w:r>
      <w:r w:rsidRPr="00E86CE4">
        <w:rPr>
          <w:rFonts w:ascii="仿宋" w:eastAsia="仿宋" w:hAnsi="仿宋"/>
          <w:sz w:val="28"/>
          <w:szCs w:val="28"/>
        </w:rPr>
        <w:t>等方向的高水平学科建设提供不可替代的战略参照</w:t>
      </w:r>
      <w:r>
        <w:rPr>
          <w:rFonts w:ascii="仿宋" w:eastAsia="仿宋" w:hAnsi="仿宋" w:hint="eastAsia"/>
          <w:sz w:val="28"/>
          <w:szCs w:val="28"/>
        </w:rPr>
        <w:t>。</w:t>
      </w:r>
      <w:r>
        <w:rPr>
          <w:rFonts w:ascii="仿宋" w:eastAsia="仿宋" w:hAnsi="仿宋" w:hint="eastAsia"/>
          <w:sz w:val="28"/>
          <w:szCs w:val="28"/>
        </w:rPr>
        <w:t>经研究，我馆决定以单一来源</w:t>
      </w:r>
      <w:r w:rsidRPr="005C069C">
        <w:rPr>
          <w:rFonts w:ascii="仿宋" w:eastAsia="仿宋" w:hAnsi="仿宋" w:hint="eastAsia"/>
          <w:sz w:val="28"/>
          <w:szCs w:val="28"/>
        </w:rPr>
        <w:t>方式采购</w:t>
      </w:r>
      <w:r>
        <w:rPr>
          <w:rFonts w:ascii="仿宋" w:eastAsia="仿宋" w:hAnsi="仿宋" w:hint="eastAsia"/>
          <w:sz w:val="28"/>
          <w:szCs w:val="28"/>
        </w:rPr>
        <w:t>国研网</w:t>
      </w:r>
      <w:r w:rsidRPr="00E86CE4">
        <w:rPr>
          <w:rFonts w:ascii="仿宋" w:eastAsia="仿宋" w:hAnsi="仿宋"/>
          <w:sz w:val="28"/>
          <w:szCs w:val="28"/>
        </w:rPr>
        <w:t>全球智库洞察平台</w:t>
      </w:r>
      <w:r>
        <w:rPr>
          <w:rFonts w:ascii="仿宋" w:eastAsia="仿宋" w:hAnsi="仿宋" w:hint="eastAsia"/>
          <w:sz w:val="28"/>
          <w:szCs w:val="28"/>
        </w:rPr>
        <w:t>。</w:t>
      </w:r>
    </w:p>
    <w:p w:rsidR="00E86CE4" w:rsidRDefault="00D513F0" w:rsidP="00D513F0">
      <w:pPr>
        <w:widowControl/>
        <w:ind w:firstLineChars="200" w:firstLine="560"/>
        <w:jc w:val="left"/>
        <w:rPr>
          <w:rFonts w:ascii="仿宋" w:eastAsia="仿宋" w:hAnsi="仿宋"/>
          <w:sz w:val="28"/>
          <w:szCs w:val="28"/>
        </w:rPr>
      </w:pPr>
      <w:r w:rsidRPr="00D513F0">
        <w:rPr>
          <w:rFonts w:ascii="仿宋" w:eastAsia="仿宋" w:hAnsi="仿宋" w:hint="eastAsia"/>
          <w:sz w:val="28"/>
          <w:szCs w:val="28"/>
        </w:rPr>
        <w:t>全球智库洞察平台是国研网在全球新一轮科技革命和产业变革加速演进并推动政策和学术研究迈向数字化、网络化和智能化融合发展新阶段，依托先进的信息采集、自然语言处理、可视化分析和人工智能等现代信息技术，汇聚全球头部智库和国家高端智库建设试点单位信息资源，精心打造的高品质智库信息服务平台。平台致力于为用户提供全球头部智库成果追踪、高端研究人才发现、智库研究数智化支撑等多元化服务，助力用户“更快、更好”地进行政策和学术研究创新、提升管理决策水平、加快中国特色新型智库建设。</w:t>
      </w:r>
      <w:r>
        <w:rPr>
          <w:rFonts w:ascii="仿宋" w:eastAsia="仿宋" w:hAnsi="仿宋" w:hint="eastAsia"/>
          <w:sz w:val="28"/>
          <w:szCs w:val="28"/>
        </w:rPr>
        <w:t>平台</w:t>
      </w:r>
      <w:r w:rsidRPr="00D513F0">
        <w:rPr>
          <w:rFonts w:ascii="仿宋" w:eastAsia="仿宋" w:hAnsi="仿宋" w:hint="eastAsia"/>
          <w:sz w:val="28"/>
          <w:szCs w:val="28"/>
        </w:rPr>
        <w:t>从研究成果、研究项目、专家学者、活动预告、智库动态、智库研究、智库排名等7大维度，全方位、多角度、一站式展现全球头部智库和国家高端智库建设试点单位的前沿动态与深度洞察。</w:t>
      </w:r>
    </w:p>
    <w:p w:rsidR="00E86CE4" w:rsidRDefault="00E86CE4" w:rsidP="00D513F0">
      <w:pPr>
        <w:widowControl/>
        <w:ind w:firstLineChars="200" w:firstLine="560"/>
        <w:jc w:val="left"/>
        <w:rPr>
          <w:rFonts w:ascii="仿宋" w:eastAsia="仿宋" w:hAnsi="仿宋"/>
          <w:sz w:val="28"/>
          <w:szCs w:val="28"/>
        </w:rPr>
      </w:pPr>
    </w:p>
    <w:p w:rsidR="00E86CE4" w:rsidRDefault="00EF356D" w:rsidP="00EF356D">
      <w:pPr>
        <w:snapToGrid w:val="0"/>
        <w:spacing w:line="384" w:lineRule="auto"/>
        <w:ind w:firstLineChars="200" w:firstLine="560"/>
        <w:rPr>
          <w:rFonts w:ascii="仿宋" w:eastAsia="仿宋" w:hAnsi="仿宋"/>
          <w:sz w:val="28"/>
          <w:szCs w:val="28"/>
        </w:rPr>
      </w:pPr>
      <w:r w:rsidRPr="00EF356D">
        <w:rPr>
          <w:rFonts w:ascii="仿宋" w:eastAsia="仿宋" w:hAnsi="仿宋" w:hint="eastAsia"/>
          <w:sz w:val="28"/>
          <w:szCs w:val="28"/>
        </w:rPr>
        <w:lastRenderedPageBreak/>
        <w:t>该平台将显著提升</w:t>
      </w:r>
      <w:r>
        <w:rPr>
          <w:rFonts w:ascii="仿宋" w:eastAsia="仿宋" w:hAnsi="仿宋" w:hint="eastAsia"/>
          <w:sz w:val="28"/>
          <w:szCs w:val="28"/>
        </w:rPr>
        <w:t>我校</w:t>
      </w:r>
      <w:r w:rsidRPr="00EF356D">
        <w:rPr>
          <w:rFonts w:ascii="仿宋" w:eastAsia="仿宋" w:hAnsi="仿宋" w:hint="eastAsia"/>
          <w:sz w:val="28"/>
          <w:szCs w:val="28"/>
        </w:rPr>
        <w:t>在应用型商科研究领域的战略竞争力。平台覆盖布鲁金斯学会、兰德公司等104家全球顶级智库的权威成果，通过“研究成果”维度实时提供《中国消费市场数字化转型》《长三角供应链韧性评估</w:t>
      </w:r>
      <w:r>
        <w:rPr>
          <w:rFonts w:ascii="仿宋" w:eastAsia="仿宋" w:hAnsi="仿宋" w:hint="eastAsia"/>
          <w:sz w:val="28"/>
          <w:szCs w:val="28"/>
        </w:rPr>
        <w:t>》等涉商专题报告，为国际商务、旅游管理等硕士点建设注入全球视野。</w:t>
      </w:r>
      <w:r w:rsidRPr="00EF356D">
        <w:rPr>
          <w:rFonts w:ascii="仿宋" w:eastAsia="仿宋" w:hAnsi="仿宋" w:hint="eastAsia"/>
          <w:sz w:val="28"/>
          <w:szCs w:val="28"/>
        </w:rPr>
        <w:t>依托《头部智库看中国》专刊的深度编译能力，学校可突破外文文献获取壁垒。在科研合作层面，平台构建了不可替代的学术网络枢纽。通过“专家学者”维度精准链接1.8万名国际研究者（如卡内基基金会国际贸易专家、麦肯锡全球研究院消费领域分析师），</w:t>
      </w:r>
      <w:r>
        <w:rPr>
          <w:rFonts w:ascii="仿宋" w:eastAsia="仿宋" w:hAnsi="仿宋" w:hint="eastAsia"/>
          <w:sz w:val="28"/>
          <w:szCs w:val="28"/>
        </w:rPr>
        <w:t>在一定条件下</w:t>
      </w:r>
      <w:r w:rsidRPr="00EF356D">
        <w:rPr>
          <w:rFonts w:ascii="仿宋" w:eastAsia="仿宋" w:hAnsi="仿宋" w:hint="eastAsia"/>
          <w:sz w:val="28"/>
          <w:szCs w:val="28"/>
        </w:rPr>
        <w:t>可快速建立跨境合作渠道。这将直接支撑省部级课题申报——例如结合“智库排名”数据追踪全球对华研究焦点迁移（近三年绿色金融议题增长240%），与校内“长三角商业数据库”交叉分析，产出《全球智库视角下的上海自贸区3.0方案》等标志性成果。</w:t>
      </w:r>
      <w:r>
        <w:rPr>
          <w:rFonts w:ascii="仿宋" w:eastAsia="仿宋" w:hAnsi="仿宋" w:hint="eastAsia"/>
          <w:sz w:val="28"/>
          <w:szCs w:val="28"/>
        </w:rPr>
        <w:t>另外</w:t>
      </w:r>
      <w:r w:rsidRPr="00EF356D">
        <w:rPr>
          <w:rFonts w:ascii="仿宋" w:eastAsia="仿宋" w:hAnsi="仿宋" w:hint="eastAsia"/>
          <w:sz w:val="28"/>
          <w:szCs w:val="28"/>
        </w:rPr>
        <w:t>平台技术架构</w:t>
      </w:r>
      <w:r>
        <w:rPr>
          <w:rFonts w:ascii="仿宋" w:eastAsia="仿宋" w:hAnsi="仿宋" w:hint="eastAsia"/>
          <w:sz w:val="28"/>
          <w:szCs w:val="28"/>
        </w:rPr>
        <w:t>可</w:t>
      </w:r>
      <w:r w:rsidRPr="00EF356D">
        <w:rPr>
          <w:rFonts w:ascii="仿宋" w:eastAsia="仿宋" w:hAnsi="仿宋" w:hint="eastAsia"/>
          <w:sz w:val="28"/>
          <w:szCs w:val="28"/>
        </w:rPr>
        <w:t>深度赋能学校特色智库建设。自然语言处理技术自动提取报告核心观点（如布鲁金斯学会对上海国际航运中心的政策建议），解决教师处理海量外文文献的效能瓶颈。</w:t>
      </w:r>
      <w:r w:rsidR="005E5B1C">
        <w:rPr>
          <w:rFonts w:ascii="仿宋" w:eastAsia="仿宋" w:hAnsi="仿宋" w:hint="eastAsia"/>
          <w:sz w:val="28"/>
          <w:szCs w:val="28"/>
        </w:rPr>
        <w:t>同时</w:t>
      </w:r>
      <w:r>
        <w:rPr>
          <w:rFonts w:ascii="仿宋" w:eastAsia="仿宋" w:hAnsi="仿宋" w:hint="eastAsia"/>
          <w:sz w:val="28"/>
          <w:szCs w:val="28"/>
        </w:rPr>
        <w:t>，</w:t>
      </w:r>
      <w:r w:rsidRPr="00EF356D">
        <w:rPr>
          <w:rFonts w:ascii="仿宋" w:eastAsia="仿宋" w:hAnsi="仿宋" w:hint="eastAsia"/>
          <w:sz w:val="28"/>
          <w:szCs w:val="28"/>
        </w:rPr>
        <w:t>数据资源的独占性构成关键竞争优势。平台独家合法获取查塔姆研究所、传统基金会等机构的完整涉华研究报告（如《脱欧后沪英商贸关系展望》），这些资源通过常规渠道无法获取。</w:t>
      </w:r>
      <w:r w:rsidR="00EE4CFA">
        <w:rPr>
          <w:rFonts w:ascii="仿宋" w:eastAsia="仿宋" w:hAnsi="仿宋" w:hint="eastAsia"/>
          <w:sz w:val="28"/>
          <w:szCs w:val="28"/>
        </w:rPr>
        <w:t>为充分</w:t>
      </w:r>
      <w:r>
        <w:rPr>
          <w:rFonts w:ascii="仿宋" w:eastAsia="仿宋" w:hAnsi="仿宋" w:hint="eastAsia"/>
          <w:sz w:val="28"/>
          <w:szCs w:val="28"/>
        </w:rPr>
        <w:t>利用该平台，我校可</w:t>
      </w:r>
      <w:r w:rsidRPr="00EF356D">
        <w:rPr>
          <w:rFonts w:ascii="仿宋" w:eastAsia="仿宋" w:hAnsi="仿宋" w:hint="eastAsia"/>
          <w:sz w:val="28"/>
          <w:szCs w:val="28"/>
        </w:rPr>
        <w:t>采用三阶段策略</w:t>
      </w:r>
      <w:r>
        <w:rPr>
          <w:rFonts w:ascii="仿宋" w:eastAsia="仿宋" w:hAnsi="仿宋" w:hint="eastAsia"/>
          <w:sz w:val="28"/>
          <w:szCs w:val="28"/>
        </w:rPr>
        <w:t>实施</w:t>
      </w:r>
      <w:r w:rsidRPr="00EF356D">
        <w:rPr>
          <w:rFonts w:ascii="仿宋" w:eastAsia="仿宋" w:hAnsi="仿宋" w:hint="eastAsia"/>
          <w:sz w:val="28"/>
          <w:szCs w:val="28"/>
        </w:rPr>
        <w:t>：首阶段将平台数据嵌入国际商务硕士课程教学；中期对接上海市商务委重点课题，每年产出3-5份获市领导批示的专项报告；远期打造“全球商业高端论坛”，引用威尔逊中心中小企业供应链研究等成果，与百联集团等企业开展商业诊断实践</w:t>
      </w:r>
      <w:r>
        <w:rPr>
          <w:rFonts w:ascii="仿宋" w:eastAsia="仿宋" w:hAnsi="仿宋" w:hint="eastAsia"/>
          <w:sz w:val="28"/>
          <w:szCs w:val="28"/>
        </w:rPr>
        <w:t>等</w:t>
      </w:r>
      <w:r w:rsidRPr="00EF356D">
        <w:rPr>
          <w:rFonts w:ascii="仿宋" w:eastAsia="仿宋" w:hAnsi="仿宋" w:hint="eastAsia"/>
          <w:sz w:val="28"/>
          <w:szCs w:val="28"/>
        </w:rPr>
        <w:t>。</w:t>
      </w:r>
    </w:p>
    <w:p w:rsidR="00B10EEE" w:rsidRPr="00B10EEE" w:rsidRDefault="00B10EEE" w:rsidP="00B150F8">
      <w:pPr>
        <w:snapToGrid w:val="0"/>
        <w:spacing w:line="384" w:lineRule="auto"/>
        <w:ind w:firstLineChars="200" w:firstLine="560"/>
        <w:rPr>
          <w:rFonts w:ascii="仿宋" w:eastAsia="仿宋" w:hAnsi="仿宋"/>
          <w:sz w:val="28"/>
          <w:szCs w:val="28"/>
        </w:rPr>
      </w:pPr>
      <w:r w:rsidRPr="00B10EEE">
        <w:rPr>
          <w:rFonts w:ascii="仿宋" w:eastAsia="仿宋" w:hAnsi="仿宋" w:hint="eastAsia"/>
          <w:sz w:val="28"/>
          <w:szCs w:val="28"/>
        </w:rPr>
        <w:t>我馆以单一来源方式采购的理由为：</w:t>
      </w:r>
    </w:p>
    <w:p w:rsidR="00B10EEE" w:rsidRPr="00B150F8" w:rsidRDefault="00B10EEE" w:rsidP="00B150F8">
      <w:pPr>
        <w:snapToGrid w:val="0"/>
        <w:spacing w:line="384" w:lineRule="auto"/>
        <w:ind w:firstLineChars="200" w:firstLine="560"/>
        <w:rPr>
          <w:rFonts w:ascii="仿宋" w:eastAsia="仿宋" w:hAnsi="仿宋" w:hint="eastAsia"/>
          <w:sz w:val="28"/>
          <w:szCs w:val="28"/>
        </w:rPr>
      </w:pPr>
      <w:r w:rsidRPr="00B10EEE">
        <w:rPr>
          <w:rFonts w:ascii="仿宋" w:eastAsia="仿宋" w:hAnsi="仿宋" w:hint="eastAsia"/>
          <w:sz w:val="28"/>
          <w:szCs w:val="28"/>
        </w:rPr>
        <w:t>1、</w:t>
      </w:r>
      <w:r w:rsidR="00B150F8" w:rsidRPr="00B150F8">
        <w:rPr>
          <w:rFonts w:ascii="仿宋" w:eastAsia="仿宋" w:hAnsi="仿宋"/>
          <w:sz w:val="28"/>
          <w:szCs w:val="28"/>
        </w:rPr>
        <w:t>该平台具备数据源垄断性与分析体系独特性：其一，独家覆</w:t>
      </w:r>
      <w:r w:rsidR="00B150F8" w:rsidRPr="00B150F8">
        <w:rPr>
          <w:rFonts w:ascii="仿宋" w:eastAsia="仿宋" w:hAnsi="仿宋"/>
          <w:sz w:val="28"/>
          <w:szCs w:val="28"/>
        </w:rPr>
        <w:lastRenderedPageBreak/>
        <w:t>盖宾夕法尼亚大学全球智库排名前20的顶尖机构（如布鲁金斯学会、兰德公司、卡内基国际和平基金会），其发布的涉华研究报告多数未开放公开获取，平台通过专项合作实现持续追踪与系统整合；其二，构建的“研究成果-专家学者-智库动态”三维分析框架，支持从政策观点溯源到专家合作链接的闭环研究路径，例如通过“专家学者”维度可精准定位对华政策核心研究者并追溯其最新成果，此功能尚无国内同类平台能够复现。</w:t>
      </w:r>
    </w:p>
    <w:p w:rsidR="00B10EEE" w:rsidRPr="00B10EEE" w:rsidRDefault="00A46748" w:rsidP="00B36A5D">
      <w:pPr>
        <w:snapToGrid w:val="0"/>
        <w:spacing w:line="384" w:lineRule="auto"/>
        <w:ind w:firstLineChars="200" w:firstLine="560"/>
        <w:rPr>
          <w:rFonts w:ascii="仿宋" w:eastAsia="仿宋" w:hAnsi="仿宋"/>
          <w:sz w:val="28"/>
          <w:szCs w:val="28"/>
        </w:rPr>
      </w:pPr>
      <w:r>
        <w:rPr>
          <w:rFonts w:ascii="仿宋" w:eastAsia="仿宋" w:hAnsi="仿宋"/>
          <w:sz w:val="28"/>
          <w:szCs w:val="28"/>
        </w:rPr>
        <w:t>2</w:t>
      </w:r>
      <w:r w:rsidR="00B10EEE" w:rsidRPr="00B10EEE">
        <w:rPr>
          <w:rFonts w:ascii="仿宋" w:eastAsia="仿宋" w:hAnsi="仿宋" w:hint="eastAsia"/>
          <w:sz w:val="28"/>
          <w:szCs w:val="28"/>
        </w:rPr>
        <w:t>、</w:t>
      </w:r>
      <w:r w:rsidR="00B150F8" w:rsidRPr="00D513F0">
        <w:rPr>
          <w:rFonts w:ascii="仿宋" w:eastAsia="仿宋" w:hAnsi="仿宋" w:hint="eastAsia"/>
          <w:sz w:val="28"/>
          <w:szCs w:val="28"/>
        </w:rPr>
        <w:t>全球智库洞察平台</w:t>
      </w:r>
      <w:r w:rsidR="0075272E" w:rsidRPr="00B10EEE">
        <w:rPr>
          <w:rFonts w:ascii="仿宋" w:eastAsia="仿宋" w:hAnsi="仿宋" w:hint="eastAsia"/>
          <w:sz w:val="28"/>
          <w:szCs w:val="28"/>
        </w:rPr>
        <w:t>由</w:t>
      </w:r>
      <w:r w:rsidR="00B150F8">
        <w:rPr>
          <w:rFonts w:ascii="仿宋" w:eastAsia="仿宋" w:hAnsi="仿宋" w:hint="eastAsia"/>
          <w:sz w:val="28"/>
          <w:szCs w:val="28"/>
        </w:rPr>
        <w:t>北京国研网信息股份有限公司</w:t>
      </w:r>
      <w:r w:rsidR="0075272E" w:rsidRPr="00B10EEE">
        <w:rPr>
          <w:rFonts w:ascii="仿宋" w:eastAsia="仿宋" w:hAnsi="仿宋" w:hint="eastAsia"/>
          <w:sz w:val="28"/>
          <w:szCs w:val="28"/>
        </w:rPr>
        <w:t>完全自主研发，拥有该平台全部知识产权。（附件一）</w:t>
      </w:r>
    </w:p>
    <w:p w:rsidR="00067663" w:rsidRDefault="00B150F8" w:rsidP="00392315">
      <w:pPr>
        <w:snapToGrid w:val="0"/>
        <w:spacing w:line="384" w:lineRule="auto"/>
        <w:ind w:firstLineChars="200" w:firstLine="560"/>
        <w:rPr>
          <w:rFonts w:ascii="仿宋" w:eastAsia="仿宋" w:hAnsi="仿宋"/>
          <w:sz w:val="28"/>
          <w:szCs w:val="28"/>
        </w:rPr>
      </w:pPr>
      <w:r w:rsidRPr="00D513F0">
        <w:rPr>
          <w:rFonts w:ascii="仿宋" w:eastAsia="仿宋" w:hAnsi="仿宋" w:hint="eastAsia"/>
          <w:sz w:val="28"/>
          <w:szCs w:val="28"/>
        </w:rPr>
        <w:t>全球智库洞察平台</w:t>
      </w:r>
      <w:r w:rsidR="00292C88" w:rsidRPr="00392315">
        <w:rPr>
          <w:rFonts w:ascii="仿宋" w:eastAsia="仿宋" w:hAnsi="仿宋" w:hint="eastAsia"/>
          <w:sz w:val="28"/>
          <w:szCs w:val="28"/>
        </w:rPr>
        <w:t>已列入我馆20</w:t>
      </w:r>
      <w:r w:rsidR="00292C88" w:rsidRPr="00392315">
        <w:rPr>
          <w:rFonts w:ascii="仿宋" w:eastAsia="仿宋" w:hAnsi="仿宋"/>
          <w:sz w:val="28"/>
          <w:szCs w:val="28"/>
        </w:rPr>
        <w:t>2</w:t>
      </w:r>
      <w:r w:rsidR="00292C88">
        <w:rPr>
          <w:rFonts w:ascii="仿宋" w:eastAsia="仿宋" w:hAnsi="仿宋"/>
          <w:sz w:val="28"/>
          <w:szCs w:val="28"/>
        </w:rPr>
        <w:t>5</w:t>
      </w:r>
      <w:r w:rsidR="00292C88" w:rsidRPr="00392315">
        <w:rPr>
          <w:rFonts w:ascii="仿宋" w:eastAsia="仿宋" w:hAnsi="仿宋" w:hint="eastAsia"/>
          <w:sz w:val="28"/>
          <w:szCs w:val="28"/>
        </w:rPr>
        <w:t>年度常规经费预算，</w:t>
      </w:r>
      <w:r w:rsidR="00392315" w:rsidRPr="00392315">
        <w:rPr>
          <w:rFonts w:ascii="仿宋" w:eastAsia="仿宋" w:hAnsi="仿宋" w:hint="eastAsia"/>
          <w:sz w:val="28"/>
          <w:szCs w:val="28"/>
        </w:rPr>
        <w:t>根据沪商院资</w:t>
      </w:r>
      <w:r w:rsidR="00392315" w:rsidRPr="00392315">
        <w:rPr>
          <w:rFonts w:ascii="仿宋" w:eastAsia="仿宋" w:hAnsi="仿宋"/>
          <w:sz w:val="28"/>
          <w:szCs w:val="28"/>
        </w:rPr>
        <w:t>[202</w:t>
      </w:r>
      <w:r w:rsidR="00AB29CE">
        <w:rPr>
          <w:rFonts w:ascii="仿宋" w:eastAsia="仿宋" w:hAnsi="仿宋"/>
          <w:sz w:val="28"/>
          <w:szCs w:val="28"/>
        </w:rPr>
        <w:t>4</w:t>
      </w:r>
      <w:r w:rsidR="00392315" w:rsidRPr="00392315">
        <w:rPr>
          <w:rFonts w:ascii="仿宋" w:eastAsia="仿宋" w:hAnsi="仿宋"/>
          <w:sz w:val="28"/>
          <w:szCs w:val="28"/>
        </w:rPr>
        <w:t>]</w:t>
      </w:r>
      <w:r w:rsidR="00AB29CE">
        <w:rPr>
          <w:rFonts w:ascii="仿宋" w:eastAsia="仿宋" w:hAnsi="仿宋"/>
          <w:sz w:val="28"/>
          <w:szCs w:val="28"/>
        </w:rPr>
        <w:t>209</w:t>
      </w:r>
      <w:r w:rsidR="00392315" w:rsidRPr="00392315">
        <w:rPr>
          <w:rFonts w:ascii="仿宋" w:eastAsia="仿宋" w:hAnsi="仿宋" w:hint="eastAsia"/>
          <w:sz w:val="28"/>
          <w:szCs w:val="28"/>
        </w:rPr>
        <w:t>号</w:t>
      </w:r>
      <w:r w:rsidR="00AB29CE" w:rsidRPr="00AB29CE">
        <w:rPr>
          <w:rFonts w:ascii="仿宋" w:eastAsia="仿宋" w:hAnsi="仿宋" w:hint="eastAsia"/>
          <w:sz w:val="28"/>
          <w:szCs w:val="28"/>
        </w:rPr>
        <w:t>《上海商学院采购管理办法</w:t>
      </w:r>
      <w:r w:rsidR="00AB29CE">
        <w:rPr>
          <w:rFonts w:ascii="仿宋" w:eastAsia="仿宋" w:hAnsi="仿宋" w:hint="eastAsia"/>
          <w:sz w:val="28"/>
          <w:szCs w:val="28"/>
        </w:rPr>
        <w:t>（修订）》的</w:t>
      </w:r>
      <w:r w:rsidR="00392315" w:rsidRPr="00392315">
        <w:rPr>
          <w:rFonts w:ascii="仿宋" w:eastAsia="仿宋" w:hAnsi="仿宋" w:hint="eastAsia"/>
          <w:sz w:val="28"/>
          <w:szCs w:val="28"/>
        </w:rPr>
        <w:t>相关规定</w:t>
      </w:r>
      <w:r w:rsidR="00292C88">
        <w:rPr>
          <w:rFonts w:ascii="仿宋" w:eastAsia="仿宋" w:hAnsi="仿宋" w:hint="eastAsia"/>
          <w:sz w:val="28"/>
          <w:szCs w:val="28"/>
        </w:rPr>
        <w:t>，</w:t>
      </w:r>
      <w:r w:rsidR="00392315" w:rsidRPr="00392315">
        <w:rPr>
          <w:rFonts w:ascii="仿宋" w:eastAsia="仿宋" w:hAnsi="仿宋" w:hint="eastAsia"/>
          <w:sz w:val="28"/>
          <w:szCs w:val="28"/>
        </w:rPr>
        <w:t>请贵处列入工作流程为荷。</w:t>
      </w:r>
    </w:p>
    <w:p w:rsidR="00392315" w:rsidRDefault="00392315" w:rsidP="00392315">
      <w:pPr>
        <w:snapToGrid w:val="0"/>
        <w:spacing w:line="384" w:lineRule="auto"/>
        <w:rPr>
          <w:rFonts w:ascii="仿宋" w:eastAsia="仿宋" w:hAnsi="仿宋"/>
          <w:sz w:val="28"/>
          <w:szCs w:val="28"/>
        </w:rPr>
      </w:pPr>
    </w:p>
    <w:p w:rsidR="00392315" w:rsidRPr="002B6D0E" w:rsidRDefault="00392315" w:rsidP="00392315">
      <w:pPr>
        <w:snapToGrid w:val="0"/>
        <w:spacing w:line="384" w:lineRule="auto"/>
        <w:rPr>
          <w:rFonts w:ascii="仿宋" w:eastAsia="仿宋" w:hAnsi="仿宋"/>
          <w:sz w:val="28"/>
          <w:szCs w:val="28"/>
        </w:rPr>
      </w:pPr>
    </w:p>
    <w:p w:rsidR="00F53087" w:rsidRPr="00F53087" w:rsidRDefault="00F53087" w:rsidP="00392315">
      <w:pPr>
        <w:wordWrap w:val="0"/>
        <w:snapToGrid w:val="0"/>
        <w:spacing w:line="384" w:lineRule="auto"/>
        <w:jc w:val="right"/>
        <w:rPr>
          <w:rFonts w:ascii="仿宋" w:eastAsia="仿宋" w:hAnsi="仿宋"/>
          <w:sz w:val="28"/>
          <w:szCs w:val="28"/>
        </w:rPr>
      </w:pPr>
      <w:r w:rsidRPr="00F53087">
        <w:rPr>
          <w:rFonts w:ascii="仿宋" w:eastAsia="仿宋" w:hAnsi="仿宋" w:hint="eastAsia"/>
          <w:sz w:val="28"/>
          <w:szCs w:val="28"/>
        </w:rPr>
        <w:t>图书馆</w:t>
      </w:r>
      <w:r w:rsidR="00392315">
        <w:rPr>
          <w:rFonts w:ascii="仿宋" w:eastAsia="仿宋" w:hAnsi="仿宋"/>
          <w:sz w:val="28"/>
          <w:szCs w:val="28"/>
        </w:rPr>
        <w:t xml:space="preserve">    </w:t>
      </w:r>
    </w:p>
    <w:p w:rsidR="00F53087" w:rsidRDefault="005A4596" w:rsidP="00392315">
      <w:pPr>
        <w:snapToGrid w:val="0"/>
        <w:spacing w:line="384" w:lineRule="auto"/>
        <w:jc w:val="right"/>
        <w:rPr>
          <w:rFonts w:ascii="仿宋" w:eastAsia="仿宋" w:hAnsi="仿宋"/>
          <w:sz w:val="28"/>
          <w:szCs w:val="28"/>
        </w:rPr>
      </w:pPr>
      <w:r>
        <w:rPr>
          <w:rFonts w:ascii="仿宋" w:eastAsia="仿宋" w:hAnsi="仿宋" w:hint="eastAsia"/>
          <w:sz w:val="28"/>
          <w:szCs w:val="28"/>
        </w:rPr>
        <w:t>202</w:t>
      </w:r>
      <w:r w:rsidR="00DC08B1">
        <w:rPr>
          <w:rFonts w:ascii="仿宋" w:eastAsia="仿宋" w:hAnsi="仿宋"/>
          <w:sz w:val="28"/>
          <w:szCs w:val="28"/>
        </w:rPr>
        <w:t>5</w:t>
      </w:r>
      <w:r w:rsidR="00F53087" w:rsidRPr="00F53087">
        <w:rPr>
          <w:rFonts w:ascii="仿宋" w:eastAsia="仿宋" w:hAnsi="仿宋" w:hint="eastAsia"/>
          <w:sz w:val="28"/>
          <w:szCs w:val="28"/>
        </w:rPr>
        <w:t>年</w:t>
      </w:r>
      <w:r w:rsidR="00B3136D">
        <w:rPr>
          <w:rFonts w:ascii="仿宋" w:eastAsia="仿宋" w:hAnsi="仿宋"/>
          <w:sz w:val="28"/>
          <w:szCs w:val="28"/>
        </w:rPr>
        <w:t>6</w:t>
      </w:r>
      <w:r w:rsidR="00F53087" w:rsidRPr="00F53087">
        <w:rPr>
          <w:rFonts w:ascii="仿宋" w:eastAsia="仿宋" w:hAnsi="仿宋" w:hint="eastAsia"/>
          <w:sz w:val="28"/>
          <w:szCs w:val="28"/>
        </w:rPr>
        <w:t>月</w:t>
      </w:r>
      <w:r w:rsidR="00B3136D">
        <w:rPr>
          <w:rFonts w:ascii="仿宋" w:eastAsia="仿宋" w:hAnsi="仿宋"/>
          <w:sz w:val="28"/>
          <w:szCs w:val="28"/>
        </w:rPr>
        <w:t>23</w:t>
      </w:r>
      <w:r w:rsidR="00F53087" w:rsidRPr="00F53087">
        <w:rPr>
          <w:rFonts w:ascii="仿宋" w:eastAsia="仿宋" w:hAnsi="仿宋" w:hint="eastAsia"/>
          <w:sz w:val="28"/>
          <w:szCs w:val="28"/>
        </w:rPr>
        <w:t>日</w:t>
      </w:r>
    </w:p>
    <w:p w:rsidR="00744364" w:rsidRDefault="00744364" w:rsidP="00392315">
      <w:pPr>
        <w:snapToGrid w:val="0"/>
        <w:spacing w:line="384" w:lineRule="auto"/>
        <w:jc w:val="right"/>
        <w:rPr>
          <w:rFonts w:ascii="仿宋" w:eastAsia="仿宋" w:hAnsi="仿宋"/>
          <w:sz w:val="28"/>
          <w:szCs w:val="28"/>
        </w:rPr>
      </w:pPr>
    </w:p>
    <w:p w:rsidR="00B3136D" w:rsidRDefault="00B3136D" w:rsidP="00392315">
      <w:pPr>
        <w:snapToGrid w:val="0"/>
        <w:spacing w:line="384" w:lineRule="auto"/>
        <w:jc w:val="right"/>
        <w:rPr>
          <w:rFonts w:ascii="仿宋" w:eastAsia="仿宋" w:hAnsi="仿宋"/>
          <w:sz w:val="28"/>
          <w:szCs w:val="28"/>
        </w:rPr>
      </w:pPr>
    </w:p>
    <w:p w:rsidR="00B3136D" w:rsidRDefault="00B3136D" w:rsidP="00392315">
      <w:pPr>
        <w:snapToGrid w:val="0"/>
        <w:spacing w:line="384" w:lineRule="auto"/>
        <w:jc w:val="right"/>
        <w:rPr>
          <w:rFonts w:ascii="仿宋" w:eastAsia="仿宋" w:hAnsi="仿宋"/>
          <w:sz w:val="28"/>
          <w:szCs w:val="28"/>
        </w:rPr>
      </w:pPr>
    </w:p>
    <w:p w:rsidR="00FB2056" w:rsidRDefault="00FB2056" w:rsidP="00392315">
      <w:pPr>
        <w:snapToGrid w:val="0"/>
        <w:spacing w:line="384" w:lineRule="auto"/>
        <w:jc w:val="right"/>
        <w:rPr>
          <w:rFonts w:ascii="仿宋" w:eastAsia="仿宋" w:hAnsi="仿宋"/>
          <w:sz w:val="28"/>
          <w:szCs w:val="28"/>
        </w:rPr>
      </w:pPr>
    </w:p>
    <w:p w:rsidR="00522CD6" w:rsidRDefault="00522CD6" w:rsidP="00392315">
      <w:pPr>
        <w:snapToGrid w:val="0"/>
        <w:spacing w:line="384" w:lineRule="auto"/>
        <w:jc w:val="right"/>
        <w:rPr>
          <w:rFonts w:ascii="仿宋" w:eastAsia="仿宋" w:hAnsi="仿宋" w:hint="eastAsia"/>
          <w:sz w:val="28"/>
          <w:szCs w:val="28"/>
        </w:rPr>
      </w:pPr>
      <w:bookmarkStart w:id="0" w:name="_GoBack"/>
      <w:bookmarkEnd w:id="0"/>
    </w:p>
    <w:p w:rsidR="00B3136D" w:rsidRDefault="00B3136D" w:rsidP="00392315">
      <w:pPr>
        <w:snapToGrid w:val="0"/>
        <w:spacing w:line="384" w:lineRule="auto"/>
        <w:jc w:val="right"/>
        <w:rPr>
          <w:rFonts w:ascii="仿宋" w:eastAsia="仿宋" w:hAnsi="仿宋"/>
          <w:sz w:val="28"/>
          <w:szCs w:val="28"/>
        </w:rPr>
      </w:pPr>
    </w:p>
    <w:p w:rsidR="00B3136D" w:rsidRDefault="00B3136D" w:rsidP="00392315">
      <w:pPr>
        <w:snapToGrid w:val="0"/>
        <w:spacing w:line="384" w:lineRule="auto"/>
        <w:jc w:val="right"/>
        <w:rPr>
          <w:rFonts w:ascii="仿宋" w:eastAsia="仿宋" w:hAnsi="仿宋"/>
          <w:sz w:val="28"/>
          <w:szCs w:val="28"/>
        </w:rPr>
      </w:pPr>
    </w:p>
    <w:p w:rsidR="00392315" w:rsidRDefault="00392315" w:rsidP="00392315">
      <w:pPr>
        <w:snapToGrid w:val="0"/>
        <w:spacing w:line="384" w:lineRule="auto"/>
        <w:jc w:val="right"/>
        <w:rPr>
          <w:rFonts w:ascii="仿宋" w:eastAsia="仿宋" w:hAnsi="仿宋"/>
          <w:sz w:val="28"/>
          <w:szCs w:val="28"/>
        </w:rPr>
      </w:pPr>
    </w:p>
    <w:p w:rsidR="00744364" w:rsidRDefault="00744364" w:rsidP="00392315">
      <w:pPr>
        <w:snapToGrid w:val="0"/>
        <w:spacing w:line="384" w:lineRule="auto"/>
        <w:rPr>
          <w:rFonts w:ascii="仿宋" w:eastAsia="仿宋" w:hAnsi="仿宋"/>
          <w:sz w:val="28"/>
          <w:szCs w:val="28"/>
        </w:rPr>
      </w:pPr>
      <w:r>
        <w:rPr>
          <w:rFonts w:ascii="仿宋" w:eastAsia="仿宋" w:hAnsi="仿宋" w:hint="eastAsia"/>
          <w:sz w:val="28"/>
          <w:szCs w:val="28"/>
        </w:rPr>
        <w:lastRenderedPageBreak/>
        <w:t>附件</w:t>
      </w:r>
      <w:r w:rsidR="00B10EEE">
        <w:rPr>
          <w:rFonts w:ascii="仿宋" w:eastAsia="仿宋" w:hAnsi="仿宋" w:hint="eastAsia"/>
          <w:sz w:val="28"/>
          <w:szCs w:val="28"/>
        </w:rPr>
        <w:t>一</w:t>
      </w:r>
      <w:r>
        <w:rPr>
          <w:rFonts w:ascii="仿宋" w:eastAsia="仿宋" w:hAnsi="仿宋" w:hint="eastAsia"/>
          <w:sz w:val="28"/>
          <w:szCs w:val="28"/>
        </w:rPr>
        <w:t>：</w:t>
      </w:r>
    </w:p>
    <w:p w:rsidR="00B10EEE" w:rsidRDefault="00B10EEE" w:rsidP="00392315">
      <w:pPr>
        <w:snapToGrid w:val="0"/>
        <w:spacing w:line="384" w:lineRule="auto"/>
        <w:ind w:right="1120"/>
        <w:rPr>
          <w:rFonts w:ascii="仿宋" w:eastAsia="仿宋" w:hAnsi="仿宋" w:hint="eastAsia"/>
          <w:sz w:val="28"/>
          <w:szCs w:val="28"/>
        </w:rPr>
      </w:pPr>
    </w:p>
    <w:p w:rsidR="00392315" w:rsidRPr="00F53087" w:rsidRDefault="00B150F8" w:rsidP="00392315">
      <w:pPr>
        <w:snapToGrid w:val="0"/>
        <w:spacing w:line="384" w:lineRule="auto"/>
        <w:ind w:right="1120"/>
        <w:rPr>
          <w:rFonts w:ascii="仿宋" w:eastAsia="仿宋" w:hAnsi="仿宋" w:hint="eastAsia"/>
          <w:sz w:val="28"/>
          <w:szCs w:val="28"/>
        </w:rPr>
      </w:pPr>
      <w:r>
        <w:rPr>
          <w:noProof/>
        </w:rPr>
        <w:drawing>
          <wp:inline distT="0" distB="0" distL="0" distR="0" wp14:anchorId="1202741F" wp14:editId="480C24A5">
            <wp:extent cx="5274310" cy="70688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7068820"/>
                    </a:xfrm>
                    <a:prstGeom prst="rect">
                      <a:avLst/>
                    </a:prstGeom>
                  </pic:spPr>
                </pic:pic>
              </a:graphicData>
            </a:graphic>
          </wp:inline>
        </w:drawing>
      </w:r>
    </w:p>
    <w:sectPr w:rsidR="00392315" w:rsidRPr="00F5308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9" w:rsidRDefault="00FF27C9" w:rsidP="00F53087">
      <w:r>
        <w:separator/>
      </w:r>
    </w:p>
  </w:endnote>
  <w:endnote w:type="continuationSeparator" w:id="0">
    <w:p w:rsidR="00FF27C9" w:rsidRDefault="00FF27C9" w:rsidP="00F5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555900"/>
      <w:docPartObj>
        <w:docPartGallery w:val="Page Numbers (Bottom of Page)"/>
        <w:docPartUnique/>
      </w:docPartObj>
    </w:sdtPr>
    <w:sdtEndPr/>
    <w:sdtContent>
      <w:p w:rsidR="002B6D0E" w:rsidRDefault="002B6D0E">
        <w:pPr>
          <w:pStyle w:val="a5"/>
          <w:jc w:val="center"/>
        </w:pPr>
        <w:r>
          <w:fldChar w:fldCharType="begin"/>
        </w:r>
        <w:r>
          <w:instrText>PAGE   \* MERGEFORMAT</w:instrText>
        </w:r>
        <w:r>
          <w:fldChar w:fldCharType="separate"/>
        </w:r>
        <w:r w:rsidR="00522CD6" w:rsidRPr="00522CD6">
          <w:rPr>
            <w:noProof/>
            <w:lang w:val="zh-CN"/>
          </w:rPr>
          <w:t>4</w:t>
        </w:r>
        <w:r>
          <w:fldChar w:fldCharType="end"/>
        </w:r>
      </w:p>
    </w:sdtContent>
  </w:sdt>
  <w:p w:rsidR="002B6D0E" w:rsidRDefault="002B6D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9" w:rsidRDefault="00FF27C9" w:rsidP="00F53087">
      <w:r>
        <w:separator/>
      </w:r>
    </w:p>
  </w:footnote>
  <w:footnote w:type="continuationSeparator" w:id="0">
    <w:p w:rsidR="00FF27C9" w:rsidRDefault="00FF27C9" w:rsidP="00F53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4C0"/>
    <w:rsid w:val="000102B0"/>
    <w:rsid w:val="0006015D"/>
    <w:rsid w:val="000613FE"/>
    <w:rsid w:val="00067663"/>
    <w:rsid w:val="0007620A"/>
    <w:rsid w:val="00096C7C"/>
    <w:rsid w:val="000D06FF"/>
    <w:rsid w:val="00110C88"/>
    <w:rsid w:val="001412B3"/>
    <w:rsid w:val="001540A8"/>
    <w:rsid w:val="00187CF0"/>
    <w:rsid w:val="001D6BDF"/>
    <w:rsid w:val="002100E1"/>
    <w:rsid w:val="00263DDC"/>
    <w:rsid w:val="002651AF"/>
    <w:rsid w:val="00280C1A"/>
    <w:rsid w:val="00283C5B"/>
    <w:rsid w:val="00292C88"/>
    <w:rsid w:val="002A0403"/>
    <w:rsid w:val="002A352B"/>
    <w:rsid w:val="002B6D0E"/>
    <w:rsid w:val="0030690E"/>
    <w:rsid w:val="003155F3"/>
    <w:rsid w:val="00342756"/>
    <w:rsid w:val="00352DA0"/>
    <w:rsid w:val="00392315"/>
    <w:rsid w:val="003D4238"/>
    <w:rsid w:val="00440DA5"/>
    <w:rsid w:val="004E2B5E"/>
    <w:rsid w:val="00522CD6"/>
    <w:rsid w:val="00582BFF"/>
    <w:rsid w:val="005A4596"/>
    <w:rsid w:val="005C069C"/>
    <w:rsid w:val="005D7EEE"/>
    <w:rsid w:val="005E5B1C"/>
    <w:rsid w:val="00625517"/>
    <w:rsid w:val="006C24E6"/>
    <w:rsid w:val="00715DFC"/>
    <w:rsid w:val="00744364"/>
    <w:rsid w:val="0075272E"/>
    <w:rsid w:val="007A06EA"/>
    <w:rsid w:val="007B6064"/>
    <w:rsid w:val="007C42AB"/>
    <w:rsid w:val="00891988"/>
    <w:rsid w:val="008A3D65"/>
    <w:rsid w:val="008B64C0"/>
    <w:rsid w:val="009A57F2"/>
    <w:rsid w:val="009F2E82"/>
    <w:rsid w:val="009F7E73"/>
    <w:rsid w:val="00A46748"/>
    <w:rsid w:val="00AB29CE"/>
    <w:rsid w:val="00AC5B98"/>
    <w:rsid w:val="00AE0F98"/>
    <w:rsid w:val="00B10EEE"/>
    <w:rsid w:val="00B150F8"/>
    <w:rsid w:val="00B3136D"/>
    <w:rsid w:val="00B36A5D"/>
    <w:rsid w:val="00B80108"/>
    <w:rsid w:val="00B957C2"/>
    <w:rsid w:val="00BD78B0"/>
    <w:rsid w:val="00BE58F5"/>
    <w:rsid w:val="00BF601D"/>
    <w:rsid w:val="00C55DF3"/>
    <w:rsid w:val="00C840B5"/>
    <w:rsid w:val="00C86B62"/>
    <w:rsid w:val="00CB5985"/>
    <w:rsid w:val="00CD17AC"/>
    <w:rsid w:val="00D033DC"/>
    <w:rsid w:val="00D513F0"/>
    <w:rsid w:val="00D527EE"/>
    <w:rsid w:val="00D53136"/>
    <w:rsid w:val="00D647E4"/>
    <w:rsid w:val="00D73A06"/>
    <w:rsid w:val="00D95704"/>
    <w:rsid w:val="00DA4DB9"/>
    <w:rsid w:val="00DC08B1"/>
    <w:rsid w:val="00DE2F6B"/>
    <w:rsid w:val="00E14AA2"/>
    <w:rsid w:val="00E302A1"/>
    <w:rsid w:val="00E602A7"/>
    <w:rsid w:val="00E8134D"/>
    <w:rsid w:val="00E86CE4"/>
    <w:rsid w:val="00E9066C"/>
    <w:rsid w:val="00E92B30"/>
    <w:rsid w:val="00EE4CFA"/>
    <w:rsid w:val="00EF356D"/>
    <w:rsid w:val="00F024CA"/>
    <w:rsid w:val="00F15C90"/>
    <w:rsid w:val="00F32BF1"/>
    <w:rsid w:val="00F455F0"/>
    <w:rsid w:val="00F53087"/>
    <w:rsid w:val="00F55AE0"/>
    <w:rsid w:val="00FB2056"/>
    <w:rsid w:val="00FF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5597"/>
  <w15:docId w15:val="{BFF2A782-1155-4B28-8DC9-86FB3FFC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0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3087"/>
    <w:rPr>
      <w:sz w:val="18"/>
      <w:szCs w:val="18"/>
    </w:rPr>
  </w:style>
  <w:style w:type="paragraph" w:styleId="a5">
    <w:name w:val="footer"/>
    <w:basedOn w:val="a"/>
    <w:link w:val="a6"/>
    <w:uiPriority w:val="99"/>
    <w:unhideWhenUsed/>
    <w:rsid w:val="00F53087"/>
    <w:pPr>
      <w:tabs>
        <w:tab w:val="center" w:pos="4153"/>
        <w:tab w:val="right" w:pos="8306"/>
      </w:tabs>
      <w:snapToGrid w:val="0"/>
      <w:jc w:val="left"/>
    </w:pPr>
    <w:rPr>
      <w:sz w:val="18"/>
      <w:szCs w:val="18"/>
    </w:rPr>
  </w:style>
  <w:style w:type="character" w:customStyle="1" w:styleId="a6">
    <w:name w:val="页脚 字符"/>
    <w:basedOn w:val="a0"/>
    <w:link w:val="a5"/>
    <w:uiPriority w:val="99"/>
    <w:rsid w:val="00F53087"/>
    <w:rPr>
      <w:sz w:val="18"/>
      <w:szCs w:val="18"/>
    </w:rPr>
  </w:style>
  <w:style w:type="paragraph" w:styleId="a7">
    <w:name w:val="Balloon Text"/>
    <w:basedOn w:val="a"/>
    <w:link w:val="a8"/>
    <w:uiPriority w:val="99"/>
    <w:semiHidden/>
    <w:unhideWhenUsed/>
    <w:rsid w:val="00D033DC"/>
    <w:rPr>
      <w:sz w:val="18"/>
      <w:szCs w:val="18"/>
    </w:rPr>
  </w:style>
  <w:style w:type="character" w:customStyle="1" w:styleId="a8">
    <w:name w:val="批注框文本 字符"/>
    <w:basedOn w:val="a0"/>
    <w:link w:val="a7"/>
    <w:uiPriority w:val="99"/>
    <w:semiHidden/>
    <w:rsid w:val="00D033DC"/>
    <w:rPr>
      <w:sz w:val="18"/>
      <w:szCs w:val="18"/>
    </w:rPr>
  </w:style>
  <w:style w:type="table" w:styleId="a9">
    <w:name w:val="Table Grid"/>
    <w:basedOn w:val="a1"/>
    <w:uiPriority w:val="59"/>
    <w:qFormat/>
    <w:rsid w:val="00D73A0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44364"/>
    <w:pPr>
      <w:ind w:leftChars="2500" w:left="100"/>
    </w:pPr>
  </w:style>
  <w:style w:type="character" w:customStyle="1" w:styleId="ab">
    <w:name w:val="日期 字符"/>
    <w:basedOn w:val="a0"/>
    <w:link w:val="aa"/>
    <w:uiPriority w:val="99"/>
    <w:semiHidden/>
    <w:rsid w:val="00744364"/>
  </w:style>
  <w:style w:type="character" w:styleId="ac">
    <w:name w:val="Strong"/>
    <w:basedOn w:val="a0"/>
    <w:uiPriority w:val="22"/>
    <w:qFormat/>
    <w:rsid w:val="00B15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58032">
      <w:bodyDiv w:val="1"/>
      <w:marLeft w:val="0"/>
      <w:marRight w:val="0"/>
      <w:marTop w:val="0"/>
      <w:marBottom w:val="0"/>
      <w:divBdr>
        <w:top w:val="none" w:sz="0" w:space="0" w:color="auto"/>
        <w:left w:val="none" w:sz="0" w:space="0" w:color="auto"/>
        <w:bottom w:val="none" w:sz="0" w:space="0" w:color="auto"/>
        <w:right w:val="none" w:sz="0" w:space="0" w:color="auto"/>
      </w:divBdr>
    </w:div>
    <w:div w:id="1351638610">
      <w:bodyDiv w:val="1"/>
      <w:marLeft w:val="0"/>
      <w:marRight w:val="0"/>
      <w:marTop w:val="0"/>
      <w:marBottom w:val="0"/>
      <w:divBdr>
        <w:top w:val="none" w:sz="0" w:space="0" w:color="auto"/>
        <w:left w:val="none" w:sz="0" w:space="0" w:color="auto"/>
        <w:bottom w:val="none" w:sz="0" w:space="0" w:color="auto"/>
        <w:right w:val="none" w:sz="0" w:space="0" w:color="auto"/>
      </w:divBdr>
    </w:div>
    <w:div w:id="165414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65</cp:revision>
  <dcterms:created xsi:type="dcterms:W3CDTF">2023-04-14T00:39:00Z</dcterms:created>
  <dcterms:modified xsi:type="dcterms:W3CDTF">2025-06-23T07:32:00Z</dcterms:modified>
</cp:coreProperties>
</file>