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sz w:val="36"/>
          <w:szCs w:val="36"/>
          <w:highlight w:val="none"/>
        </w:rPr>
      </w:pPr>
      <w:bookmarkStart w:id="0" w:name="_Toc65691531"/>
      <w:r>
        <w:rPr>
          <w:rFonts w:hint="eastAsia"/>
          <w:sz w:val="36"/>
          <w:szCs w:val="36"/>
          <w:highlight w:val="none"/>
        </w:rPr>
        <w:t>上海商学院漕宝路121号校区维修工程（一期)</w:t>
      </w:r>
    </w:p>
    <w:p>
      <w:pPr>
        <w:pStyle w:val="2"/>
        <w:jc w:val="center"/>
        <w:rPr>
          <w:sz w:val="36"/>
          <w:szCs w:val="36"/>
          <w:highlight w:val="none"/>
        </w:rPr>
      </w:pPr>
      <w:r>
        <w:rPr>
          <w:rFonts w:hint="eastAsia"/>
          <w:sz w:val="36"/>
          <w:szCs w:val="36"/>
          <w:highlight w:val="none"/>
        </w:rPr>
        <w:t>厨房设计任务</w:t>
      </w:r>
      <w:r>
        <w:rPr>
          <w:rFonts w:hint="eastAsia"/>
          <w:sz w:val="36"/>
          <w:szCs w:val="36"/>
          <w:highlight w:val="none"/>
          <w:lang w:val="en-US" w:eastAsia="zh-CN"/>
        </w:rPr>
        <w:t>要求</w:t>
      </w:r>
      <w:bookmarkEnd w:id="0"/>
      <w:bookmarkStart w:id="22" w:name="_GoBack"/>
      <w:bookmarkEnd w:id="22"/>
    </w:p>
    <w:sdt>
      <w:sdtPr>
        <w:rPr>
          <w:rFonts w:asciiTheme="minorHAnsi" w:hAnsiTheme="minorHAnsi" w:eastAsiaTheme="minorEastAsia" w:cstheme="minorBidi"/>
          <w:color w:val="auto"/>
          <w:kern w:val="2"/>
          <w:sz w:val="21"/>
          <w:szCs w:val="22"/>
          <w:highlight w:val="none"/>
          <w:lang w:val="zh-CN"/>
        </w:rPr>
        <w:id w:val="464402088"/>
        <w:docPartObj>
          <w:docPartGallery w:val="Table of Contents"/>
          <w:docPartUnique/>
        </w:docPartObj>
      </w:sdtPr>
      <w:sdtEndPr>
        <w:rPr>
          <w:rFonts w:asciiTheme="minorHAnsi" w:hAnsiTheme="minorHAnsi" w:eastAsiaTheme="minorEastAsia" w:cstheme="minorBidi"/>
          <w:b/>
          <w:bCs/>
          <w:color w:val="auto"/>
          <w:kern w:val="2"/>
          <w:sz w:val="21"/>
          <w:szCs w:val="24"/>
          <w:highlight w:val="none"/>
          <w:lang w:val="zh-CN"/>
        </w:rPr>
      </w:sdtEndPr>
      <w:sdtContent>
        <w:p>
          <w:pPr>
            <w:pStyle w:val="12"/>
            <w:rPr>
              <w:highlight w:val="none"/>
            </w:rPr>
          </w:pPr>
          <w:r>
            <w:rPr>
              <w:highlight w:val="none"/>
              <w:lang w:val="zh-CN"/>
            </w:rPr>
            <w:t>目录</w:t>
          </w:r>
        </w:p>
        <w:p>
          <w:pPr>
            <w:pStyle w:val="7"/>
            <w:tabs>
              <w:tab w:val="right" w:leader="dot" w:pos="8296"/>
            </w:tabs>
            <w:rPr>
              <w:szCs w:val="22"/>
              <w:highlight w:val="none"/>
            </w:rPr>
          </w:pPr>
          <w:r>
            <w:rPr>
              <w:rFonts w:hint="eastAsia"/>
              <w:highlight w:val="none"/>
            </w:rPr>
            <w:fldChar w:fldCharType="begin"/>
          </w:r>
          <w:r>
            <w:rPr>
              <w:highlight w:val="none"/>
            </w:rPr>
            <w:instrText xml:space="preserve">TOC \h \z \u \t "标题 2,1"</w:instrText>
          </w:r>
          <w:r>
            <w:rPr>
              <w:rFonts w:hint="eastAsia"/>
              <w:highlight w:val="none"/>
            </w:rPr>
            <w:fldChar w:fldCharType="separate"/>
          </w:r>
          <w:r>
            <w:rPr>
              <w:highlight w:val="none"/>
            </w:rPr>
            <w:fldChar w:fldCharType="begin"/>
          </w:r>
          <w:r>
            <w:rPr>
              <w:highlight w:val="none"/>
            </w:rPr>
            <w:instrText xml:space="preserve"> HYPERLINK \l "_Toc65691577" </w:instrText>
          </w:r>
          <w:r>
            <w:rPr>
              <w:highlight w:val="none"/>
            </w:rPr>
            <w:fldChar w:fldCharType="separate"/>
          </w:r>
          <w:r>
            <w:rPr>
              <w:rStyle w:val="10"/>
              <w:rFonts w:hint="eastAsia"/>
              <w:highlight w:val="none"/>
            </w:rPr>
            <w:t>一、项目概况：</w:t>
          </w:r>
          <w:r>
            <w:rPr>
              <w:rFonts w:hint="eastAsia"/>
              <w:highlight w:val="none"/>
            </w:rPr>
            <w:tab/>
          </w:r>
          <w:r>
            <w:rPr>
              <w:rFonts w:hint="eastAsia"/>
              <w:highlight w:val="none"/>
            </w:rPr>
            <w:fldChar w:fldCharType="begin"/>
          </w:r>
          <w:r>
            <w:rPr>
              <w:highlight w:val="none"/>
            </w:rPr>
            <w:instrText xml:space="preserve">PAGEREF _Toc65691577 \h</w:instrText>
          </w:r>
          <w:r>
            <w:rPr>
              <w:rFonts w:hint="eastAsia"/>
              <w:highlight w:val="none"/>
            </w:rPr>
            <w:fldChar w:fldCharType="separate"/>
          </w:r>
          <w:r>
            <w:rPr>
              <w:rFonts w:hint="eastAsia"/>
              <w:highlight w:val="none"/>
            </w:rPr>
            <w:t>2</w:t>
          </w:r>
          <w:r>
            <w:rPr>
              <w:rFonts w:hint="eastAsia"/>
              <w:highlight w:val="none"/>
            </w:rPr>
            <w:fldChar w:fldCharType="end"/>
          </w:r>
          <w:r>
            <w:rPr>
              <w:rFonts w:hint="eastAsia"/>
              <w:highlight w:val="none"/>
            </w:rPr>
            <w:fldChar w:fldCharType="end"/>
          </w:r>
        </w:p>
        <w:p>
          <w:pPr>
            <w:pStyle w:val="7"/>
            <w:tabs>
              <w:tab w:val="right" w:leader="dot" w:pos="8296"/>
            </w:tabs>
            <w:rPr>
              <w:szCs w:val="22"/>
              <w:highlight w:val="none"/>
            </w:rPr>
          </w:pPr>
          <w:r>
            <w:rPr>
              <w:highlight w:val="none"/>
            </w:rPr>
            <w:fldChar w:fldCharType="begin"/>
          </w:r>
          <w:r>
            <w:rPr>
              <w:highlight w:val="none"/>
            </w:rPr>
            <w:instrText xml:space="preserve"> HYPERLINK \l "_Toc65691578" </w:instrText>
          </w:r>
          <w:r>
            <w:rPr>
              <w:highlight w:val="none"/>
            </w:rPr>
            <w:fldChar w:fldCharType="separate"/>
          </w:r>
          <w:r>
            <w:rPr>
              <w:rStyle w:val="10"/>
              <w:rFonts w:hint="eastAsia"/>
              <w:highlight w:val="none"/>
            </w:rPr>
            <w:t>二、设计顾问的工作范围</w:t>
          </w:r>
          <w:r>
            <w:rPr>
              <w:rFonts w:hint="eastAsia"/>
              <w:highlight w:val="none"/>
            </w:rPr>
            <w:tab/>
          </w:r>
          <w:r>
            <w:rPr>
              <w:rFonts w:hint="eastAsia"/>
              <w:highlight w:val="none"/>
            </w:rPr>
            <w:t>3</w:t>
          </w:r>
          <w:r>
            <w:rPr>
              <w:rFonts w:hint="eastAsia"/>
              <w:highlight w:val="none"/>
            </w:rPr>
            <w:fldChar w:fldCharType="end"/>
          </w:r>
        </w:p>
        <w:p>
          <w:pPr>
            <w:pStyle w:val="7"/>
            <w:tabs>
              <w:tab w:val="right" w:leader="dot" w:pos="8296"/>
            </w:tabs>
            <w:rPr>
              <w:szCs w:val="22"/>
              <w:highlight w:val="none"/>
            </w:rPr>
          </w:pPr>
          <w:r>
            <w:rPr>
              <w:highlight w:val="none"/>
            </w:rPr>
            <w:fldChar w:fldCharType="begin"/>
          </w:r>
          <w:r>
            <w:rPr>
              <w:highlight w:val="none"/>
            </w:rPr>
            <w:instrText xml:space="preserve"> HYPERLINK \l "_Toc65691579" </w:instrText>
          </w:r>
          <w:r>
            <w:rPr>
              <w:highlight w:val="none"/>
            </w:rPr>
            <w:fldChar w:fldCharType="separate"/>
          </w:r>
          <w:r>
            <w:rPr>
              <w:rStyle w:val="10"/>
              <w:rFonts w:hint="eastAsia"/>
              <w:highlight w:val="none"/>
            </w:rPr>
            <w:t>三、设计顾问的工作内容</w:t>
          </w:r>
          <w:r>
            <w:rPr>
              <w:rFonts w:hint="eastAsia"/>
              <w:highlight w:val="none"/>
            </w:rPr>
            <w:tab/>
          </w:r>
          <w:r>
            <w:rPr>
              <w:rFonts w:hint="eastAsia"/>
              <w:highlight w:val="none"/>
            </w:rPr>
            <w:t>4</w:t>
          </w:r>
          <w:r>
            <w:rPr>
              <w:rFonts w:hint="eastAsia"/>
              <w:highlight w:val="none"/>
            </w:rPr>
            <w:fldChar w:fldCharType="end"/>
          </w:r>
        </w:p>
        <w:p>
          <w:pPr>
            <w:pStyle w:val="7"/>
            <w:tabs>
              <w:tab w:val="right" w:leader="dot" w:pos="8296"/>
            </w:tabs>
            <w:rPr>
              <w:szCs w:val="22"/>
              <w:highlight w:val="none"/>
            </w:rPr>
          </w:pPr>
          <w:r>
            <w:rPr>
              <w:highlight w:val="none"/>
            </w:rPr>
            <w:fldChar w:fldCharType="begin"/>
          </w:r>
          <w:r>
            <w:rPr>
              <w:highlight w:val="none"/>
            </w:rPr>
            <w:instrText xml:space="preserve"> HYPERLINK \l "_Toc65691580" </w:instrText>
          </w:r>
          <w:r>
            <w:rPr>
              <w:highlight w:val="none"/>
            </w:rPr>
            <w:fldChar w:fldCharType="separate"/>
          </w:r>
          <w:r>
            <w:rPr>
              <w:rStyle w:val="10"/>
              <w:rFonts w:hint="eastAsia"/>
              <w:highlight w:val="none"/>
            </w:rPr>
            <w:t>四、设计内容及服务范围</w:t>
          </w:r>
          <w:r>
            <w:rPr>
              <w:rFonts w:hint="eastAsia"/>
              <w:highlight w:val="none"/>
            </w:rPr>
            <w:tab/>
          </w:r>
          <w:r>
            <w:rPr>
              <w:rFonts w:hint="eastAsia"/>
              <w:highlight w:val="none"/>
            </w:rPr>
            <w:t>4</w:t>
          </w:r>
          <w:r>
            <w:rPr>
              <w:rFonts w:hint="eastAsia"/>
              <w:highlight w:val="none"/>
            </w:rPr>
            <w:fldChar w:fldCharType="end"/>
          </w:r>
        </w:p>
        <w:p>
          <w:pPr>
            <w:pStyle w:val="7"/>
            <w:tabs>
              <w:tab w:val="right" w:leader="dot" w:pos="8296"/>
            </w:tabs>
            <w:rPr>
              <w:szCs w:val="22"/>
              <w:highlight w:val="none"/>
            </w:rPr>
          </w:pPr>
          <w:r>
            <w:rPr>
              <w:highlight w:val="none"/>
            </w:rPr>
            <w:fldChar w:fldCharType="begin"/>
          </w:r>
          <w:r>
            <w:rPr>
              <w:highlight w:val="none"/>
            </w:rPr>
            <w:instrText xml:space="preserve"> HYPERLINK \l "_Toc65691581" </w:instrText>
          </w:r>
          <w:r>
            <w:rPr>
              <w:highlight w:val="none"/>
            </w:rPr>
            <w:fldChar w:fldCharType="separate"/>
          </w:r>
          <w:r>
            <w:rPr>
              <w:rStyle w:val="10"/>
              <w:rFonts w:hint="eastAsia"/>
              <w:highlight w:val="none"/>
            </w:rPr>
            <w:t>五、各阶段提供图纸的要求</w:t>
          </w:r>
          <w:r>
            <w:rPr>
              <w:rFonts w:hint="eastAsia"/>
              <w:highlight w:val="none"/>
            </w:rPr>
            <w:tab/>
          </w:r>
          <w:r>
            <w:rPr>
              <w:rFonts w:hint="eastAsia"/>
              <w:highlight w:val="none"/>
            </w:rPr>
            <w:t>8</w:t>
          </w:r>
          <w:r>
            <w:rPr>
              <w:rFonts w:hint="eastAsia"/>
              <w:highlight w:val="none"/>
            </w:rPr>
            <w:fldChar w:fldCharType="end"/>
          </w:r>
        </w:p>
        <w:p>
          <w:pPr>
            <w:pStyle w:val="7"/>
            <w:tabs>
              <w:tab w:val="right" w:leader="dot" w:pos="8296"/>
            </w:tabs>
            <w:rPr>
              <w:szCs w:val="22"/>
              <w:highlight w:val="none"/>
            </w:rPr>
          </w:pPr>
          <w:r>
            <w:rPr>
              <w:highlight w:val="none"/>
            </w:rPr>
            <w:fldChar w:fldCharType="begin"/>
          </w:r>
          <w:r>
            <w:rPr>
              <w:highlight w:val="none"/>
            </w:rPr>
            <w:instrText xml:space="preserve"> HYPERLINK \l "_Toc65691582" </w:instrText>
          </w:r>
          <w:r>
            <w:rPr>
              <w:highlight w:val="none"/>
            </w:rPr>
            <w:fldChar w:fldCharType="separate"/>
          </w:r>
          <w:r>
            <w:rPr>
              <w:rStyle w:val="10"/>
              <w:rFonts w:hint="eastAsia"/>
              <w:highlight w:val="none"/>
            </w:rPr>
            <w:t>六、参与会议及工地视察</w:t>
          </w:r>
          <w:r>
            <w:rPr>
              <w:rFonts w:hint="eastAsia"/>
              <w:highlight w:val="none"/>
            </w:rPr>
            <w:tab/>
          </w:r>
          <w:r>
            <w:rPr>
              <w:rFonts w:hint="eastAsia"/>
              <w:highlight w:val="none"/>
            </w:rPr>
            <w:t>8</w:t>
          </w:r>
          <w:r>
            <w:rPr>
              <w:rFonts w:hint="eastAsia"/>
              <w:highlight w:val="none"/>
            </w:rPr>
            <w:fldChar w:fldCharType="end"/>
          </w:r>
        </w:p>
        <w:p>
          <w:pPr>
            <w:pStyle w:val="7"/>
            <w:tabs>
              <w:tab w:val="right" w:leader="dot" w:pos="8296"/>
            </w:tabs>
            <w:rPr>
              <w:szCs w:val="22"/>
              <w:highlight w:val="none"/>
            </w:rPr>
          </w:pPr>
          <w:r>
            <w:rPr>
              <w:highlight w:val="none"/>
            </w:rPr>
            <w:fldChar w:fldCharType="begin"/>
          </w:r>
          <w:r>
            <w:rPr>
              <w:highlight w:val="none"/>
            </w:rPr>
            <w:instrText xml:space="preserve"> HYPERLINK \l "_Toc65691583" </w:instrText>
          </w:r>
          <w:r>
            <w:rPr>
              <w:highlight w:val="none"/>
            </w:rPr>
            <w:fldChar w:fldCharType="separate"/>
          </w:r>
          <w:r>
            <w:rPr>
              <w:rStyle w:val="10"/>
              <w:rFonts w:hint="eastAsia"/>
              <w:highlight w:val="none"/>
            </w:rPr>
            <w:t>七、设计成果</w:t>
          </w:r>
          <w:r>
            <w:rPr>
              <w:rFonts w:hint="eastAsia"/>
              <w:highlight w:val="none"/>
            </w:rPr>
            <w:tab/>
          </w:r>
          <w:r>
            <w:rPr>
              <w:rFonts w:hint="eastAsia"/>
              <w:highlight w:val="none"/>
            </w:rPr>
            <w:t>8</w:t>
          </w:r>
          <w:r>
            <w:rPr>
              <w:rFonts w:hint="eastAsia"/>
              <w:highlight w:val="none"/>
            </w:rPr>
            <w:fldChar w:fldCharType="end"/>
          </w:r>
        </w:p>
        <w:p>
          <w:pPr>
            <w:rPr>
              <w:b/>
              <w:bCs/>
              <w:highlight w:val="none"/>
              <w:lang w:val="zh-CN"/>
            </w:rPr>
          </w:pPr>
          <w:r>
            <w:rPr>
              <w:rFonts w:hint="eastAsia"/>
              <w:highlight w:val="none"/>
            </w:rPr>
            <w:fldChar w:fldCharType="end"/>
          </w:r>
        </w:p>
      </w:sdtContent>
    </w:sdt>
    <w:p>
      <w:pPr>
        <w:rPr>
          <w:b/>
          <w:bCs/>
          <w:highlight w:val="none"/>
          <w:lang w:val="zh-CN"/>
        </w:rPr>
      </w:pPr>
    </w:p>
    <w:p>
      <w:pPr>
        <w:rPr>
          <w:b/>
          <w:bCs/>
          <w:highlight w:val="none"/>
          <w:lang w:val="zh-CN"/>
        </w:rPr>
      </w:pPr>
    </w:p>
    <w:p>
      <w:pPr>
        <w:rPr>
          <w:b/>
          <w:bCs/>
          <w:highlight w:val="none"/>
          <w:lang w:val="zh-CN"/>
        </w:rPr>
      </w:pPr>
    </w:p>
    <w:p>
      <w:pPr>
        <w:rPr>
          <w:b/>
          <w:bCs/>
          <w:highlight w:val="none"/>
          <w:lang w:val="zh-CN"/>
        </w:rPr>
      </w:pPr>
    </w:p>
    <w:p>
      <w:pPr>
        <w:rPr>
          <w:b/>
          <w:bCs/>
          <w:highlight w:val="none"/>
          <w:lang w:val="zh-CN"/>
        </w:rPr>
      </w:pPr>
    </w:p>
    <w:p>
      <w:pPr>
        <w:rPr>
          <w:b/>
          <w:bCs/>
          <w:highlight w:val="none"/>
          <w:lang w:val="zh-CN"/>
        </w:rPr>
      </w:pPr>
    </w:p>
    <w:p>
      <w:pPr>
        <w:rPr>
          <w:b/>
          <w:bCs/>
          <w:highlight w:val="none"/>
          <w:lang w:val="zh-CN"/>
        </w:rPr>
      </w:pPr>
    </w:p>
    <w:p>
      <w:pPr>
        <w:rPr>
          <w:b/>
          <w:bCs/>
          <w:highlight w:val="none"/>
          <w:lang w:val="zh-CN"/>
        </w:rPr>
      </w:pPr>
    </w:p>
    <w:p>
      <w:pPr>
        <w:rPr>
          <w:b/>
          <w:bCs/>
          <w:highlight w:val="none"/>
          <w:lang w:val="zh-CN"/>
        </w:rPr>
      </w:pPr>
    </w:p>
    <w:p>
      <w:pPr>
        <w:rPr>
          <w:b/>
          <w:bCs/>
          <w:highlight w:val="none"/>
          <w:lang w:val="zh-CN"/>
        </w:rPr>
      </w:pPr>
    </w:p>
    <w:p>
      <w:pPr>
        <w:rPr>
          <w:b/>
          <w:bCs/>
          <w:highlight w:val="none"/>
          <w:lang w:val="zh-CN"/>
        </w:rPr>
      </w:pPr>
    </w:p>
    <w:p>
      <w:pPr>
        <w:rPr>
          <w:b/>
          <w:bCs/>
          <w:highlight w:val="none"/>
          <w:lang w:val="zh-CN"/>
        </w:rPr>
      </w:pPr>
    </w:p>
    <w:p>
      <w:pPr>
        <w:rPr>
          <w:b/>
          <w:bCs/>
          <w:highlight w:val="none"/>
          <w:lang w:val="zh-CN"/>
        </w:rPr>
      </w:pPr>
    </w:p>
    <w:p>
      <w:pPr>
        <w:rPr>
          <w:b/>
          <w:bCs/>
          <w:highlight w:val="none"/>
          <w:lang w:val="zh-CN"/>
        </w:rPr>
      </w:pPr>
    </w:p>
    <w:p>
      <w:pPr>
        <w:rPr>
          <w:b/>
          <w:bCs/>
          <w:highlight w:val="none"/>
          <w:lang w:val="zh-CN"/>
        </w:rPr>
      </w:pPr>
    </w:p>
    <w:p>
      <w:pPr>
        <w:rPr>
          <w:b/>
          <w:bCs/>
          <w:highlight w:val="none"/>
          <w:lang w:val="zh-CN"/>
        </w:rPr>
      </w:pPr>
    </w:p>
    <w:p>
      <w:pPr>
        <w:rPr>
          <w:b/>
          <w:bCs/>
          <w:highlight w:val="none"/>
          <w:lang w:val="zh-CN"/>
        </w:rPr>
      </w:pPr>
    </w:p>
    <w:p>
      <w:pPr>
        <w:rPr>
          <w:b/>
          <w:bCs/>
          <w:highlight w:val="none"/>
          <w:lang w:val="zh-CN"/>
        </w:rPr>
      </w:pPr>
    </w:p>
    <w:p>
      <w:pPr>
        <w:rPr>
          <w:b/>
          <w:bCs/>
          <w:highlight w:val="none"/>
          <w:lang w:val="zh-CN"/>
        </w:rPr>
      </w:pPr>
    </w:p>
    <w:p>
      <w:pPr>
        <w:rPr>
          <w:b/>
          <w:bCs/>
          <w:highlight w:val="none"/>
          <w:lang w:val="zh-CN"/>
        </w:rPr>
      </w:pPr>
    </w:p>
    <w:p>
      <w:pPr>
        <w:rPr>
          <w:b/>
          <w:bCs/>
          <w:highlight w:val="none"/>
          <w:lang w:val="zh-CN"/>
        </w:rPr>
      </w:pPr>
    </w:p>
    <w:p>
      <w:pPr>
        <w:rPr>
          <w:b/>
          <w:bCs/>
          <w:highlight w:val="none"/>
          <w:lang w:val="zh-CN"/>
        </w:rPr>
      </w:pPr>
    </w:p>
    <w:p>
      <w:pPr>
        <w:rPr>
          <w:b/>
          <w:bCs/>
          <w:highlight w:val="none"/>
          <w:lang w:val="zh-CN"/>
        </w:rPr>
      </w:pPr>
    </w:p>
    <w:p>
      <w:pPr>
        <w:rPr>
          <w:b/>
          <w:bCs/>
          <w:highlight w:val="none"/>
          <w:lang w:val="zh-CN"/>
        </w:rPr>
      </w:pPr>
    </w:p>
    <w:p>
      <w:pPr>
        <w:pStyle w:val="3"/>
        <w:rPr>
          <w:highlight w:val="none"/>
        </w:rPr>
      </w:pPr>
      <w:bookmarkStart w:id="1" w:name="_Toc65691492"/>
      <w:bookmarkStart w:id="2" w:name="_Toc65691577"/>
      <w:bookmarkStart w:id="3" w:name="_Toc65691532"/>
      <w:r>
        <w:rPr>
          <w:rFonts w:hint="eastAsia"/>
          <w:highlight w:val="none"/>
        </w:rPr>
        <w:t>一、项目概况：</w:t>
      </w:r>
      <w:bookmarkEnd w:id="1"/>
      <w:bookmarkEnd w:id="2"/>
      <w:bookmarkEnd w:id="3"/>
    </w:p>
    <w:p>
      <w:pPr>
        <w:spacing w:line="400" w:lineRule="exact"/>
        <w:ind w:firstLine="420" w:firstLineChars="200"/>
        <w:rPr>
          <w:highlight w:val="none"/>
        </w:rPr>
      </w:pPr>
      <w:r>
        <w:rPr>
          <w:rFonts w:hint="eastAsia"/>
          <w:highlight w:val="none"/>
        </w:rPr>
        <w:t>上海商学院漕宝路校区（上海洛桑酒店管理学院）一期项目</w:t>
      </w:r>
      <w:r>
        <w:rPr>
          <w:highlight w:val="none"/>
        </w:rPr>
        <w:t>位于</w:t>
      </w:r>
      <w:r>
        <w:rPr>
          <w:rFonts w:hint="eastAsia"/>
          <w:highlight w:val="none"/>
        </w:rPr>
        <w:t>上海市徐汇区，南至漕宝路，西至桂林路，北临居民小区，东侧为商办用房。</w:t>
      </w:r>
    </w:p>
    <w:p>
      <w:pPr>
        <w:spacing w:line="400" w:lineRule="exact"/>
        <w:ind w:firstLine="420" w:firstLineChars="200"/>
        <w:rPr>
          <w:highlight w:val="none"/>
        </w:rPr>
      </w:pPr>
      <w:r>
        <w:rPr>
          <w:rFonts w:hint="eastAsia"/>
          <w:highlight w:val="none"/>
        </w:rPr>
        <w:t>漕宝路校区前身为上海应用技术大学徐汇校区北校园，于2</w:t>
      </w:r>
      <w:r>
        <w:rPr>
          <w:highlight w:val="none"/>
        </w:rPr>
        <w:t>012</w:t>
      </w:r>
      <w:r>
        <w:rPr>
          <w:rFonts w:hint="eastAsia"/>
          <w:highlight w:val="none"/>
        </w:rPr>
        <w:t>年停用至今，现在原校区的基础上建设上海商学院上海洛桑酒店管理学院，旨在培养泛酒店服务业的高端人才。</w:t>
      </w:r>
    </w:p>
    <w:p>
      <w:pPr>
        <w:spacing w:line="400" w:lineRule="exact"/>
        <w:ind w:firstLine="420" w:firstLineChars="200"/>
        <w:rPr>
          <w:highlight w:val="none"/>
        </w:rPr>
      </w:pPr>
      <w:r>
        <w:rPr>
          <w:highlight w:val="none"/>
        </w:rPr>
        <w:drawing>
          <wp:anchor distT="0" distB="0" distL="114300" distR="114300" simplePos="0" relativeHeight="251659264" behindDoc="0" locked="0" layoutInCell="1" allowOverlap="1">
            <wp:simplePos x="0" y="0"/>
            <wp:positionH relativeFrom="column">
              <wp:posOffset>1905</wp:posOffset>
            </wp:positionH>
            <wp:positionV relativeFrom="paragraph">
              <wp:posOffset>862330</wp:posOffset>
            </wp:positionV>
            <wp:extent cx="5450205" cy="4265930"/>
            <wp:effectExtent l="0" t="0" r="0" b="0"/>
            <wp:wrapTopAndBottom/>
            <wp:docPr id="2"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示&#10;&#10;描述已自动生成"/>
                    <pic:cNvPicPr>
                      <a:picLocks noChangeAspect="1" noChangeArrowheads="1"/>
                    </pic:cNvPicPr>
                  </pic:nvPicPr>
                  <pic:blipFill>
                    <a:blip r:embed="rId4" cstate="print">
                      <a:extLst>
                        <a:ext uri="{28A0092B-C50C-407E-A947-70E740481C1C}">
                          <a14:useLocalDpi xmlns:a14="http://schemas.microsoft.com/office/drawing/2010/main" val="0"/>
                        </a:ext>
                      </a:extLst>
                    </a:blip>
                    <a:srcRect l="4217" t="2912" r="10940" b="3008"/>
                    <a:stretch>
                      <a:fillRect/>
                    </a:stretch>
                  </pic:blipFill>
                  <pic:spPr>
                    <a:xfrm>
                      <a:off x="0" y="0"/>
                      <a:ext cx="5450205" cy="4265930"/>
                    </a:xfrm>
                    <a:prstGeom prst="rect">
                      <a:avLst/>
                    </a:prstGeom>
                    <a:noFill/>
                    <a:ln>
                      <a:noFill/>
                    </a:ln>
                  </pic:spPr>
                </pic:pic>
              </a:graphicData>
            </a:graphic>
          </wp:anchor>
        </w:drawing>
      </w:r>
      <w:r>
        <w:rPr>
          <w:rFonts w:hint="eastAsia"/>
          <w:highlight w:val="none"/>
        </w:rPr>
        <w:t>整个校园将进行分期实施，一期总用地约为3万平米，拟通过装修实施。一期包含5栋现有建筑物，分别为1</w:t>
      </w:r>
      <w:r>
        <w:rPr>
          <w:highlight w:val="none"/>
        </w:rPr>
        <w:t>#</w:t>
      </w:r>
      <w:r>
        <w:rPr>
          <w:rFonts w:hint="eastAsia"/>
          <w:highlight w:val="none"/>
        </w:rPr>
        <w:t>楼教学行政楼，3</w:t>
      </w:r>
      <w:r>
        <w:rPr>
          <w:highlight w:val="none"/>
        </w:rPr>
        <w:t>#</w:t>
      </w:r>
      <w:r>
        <w:rPr>
          <w:rFonts w:hint="eastAsia"/>
          <w:highlight w:val="none"/>
        </w:rPr>
        <w:t>楼实训厨房及食堂（1</w:t>
      </w:r>
      <w:r>
        <w:rPr>
          <w:highlight w:val="none"/>
        </w:rPr>
        <w:t>736</w:t>
      </w:r>
      <w:r>
        <w:rPr>
          <w:rFonts w:hint="eastAsia"/>
          <w:highlight w:val="none"/>
        </w:rPr>
        <w:t>㎡），4</w:t>
      </w:r>
      <w:r>
        <w:rPr>
          <w:highlight w:val="none"/>
        </w:rPr>
        <w:t>#</w:t>
      </w:r>
      <w:r>
        <w:rPr>
          <w:rFonts w:hint="eastAsia"/>
          <w:highlight w:val="none"/>
        </w:rPr>
        <w:t>楼设备配套及图书活动中心，1</w:t>
      </w:r>
      <w:r>
        <w:rPr>
          <w:highlight w:val="none"/>
        </w:rPr>
        <w:t>1#</w:t>
      </w:r>
      <w:r>
        <w:rPr>
          <w:rFonts w:hint="eastAsia"/>
          <w:highlight w:val="none"/>
        </w:rPr>
        <w:t>楼学生宿舍以及入口门卫。一期总图如下：</w:t>
      </w:r>
    </w:p>
    <w:p>
      <w:pPr>
        <w:spacing w:line="400" w:lineRule="exact"/>
        <w:ind w:firstLine="420" w:firstLineChars="200"/>
        <w:rPr>
          <w:highlight w:val="none"/>
        </w:rPr>
      </w:pPr>
    </w:p>
    <w:p>
      <w:pPr>
        <w:spacing w:line="400" w:lineRule="exact"/>
        <w:ind w:firstLine="420" w:firstLineChars="200"/>
        <w:rPr>
          <w:highlight w:val="none"/>
        </w:rPr>
      </w:pPr>
      <w:r>
        <w:rPr>
          <w:rFonts w:hint="eastAsia"/>
          <w:highlight w:val="none"/>
        </w:rPr>
        <w:t>一期拟容纳1</w:t>
      </w:r>
      <w:r>
        <w:rPr>
          <w:highlight w:val="none"/>
        </w:rPr>
        <w:t>000</w:t>
      </w:r>
      <w:r>
        <w:rPr>
          <w:rFonts w:hint="eastAsia"/>
          <w:highlight w:val="none"/>
        </w:rPr>
        <w:t>名学生，开展相应的教学活动，其中3</w:t>
      </w:r>
      <w:r>
        <w:rPr>
          <w:highlight w:val="none"/>
        </w:rPr>
        <w:t>#</w:t>
      </w:r>
      <w:r>
        <w:rPr>
          <w:rFonts w:hint="eastAsia"/>
          <w:highlight w:val="none"/>
        </w:rPr>
        <w:t>楼实训厨房及食堂将在校园二期工程建设完成之前，承担学生餐厨相关的实训课程，并满足1</w:t>
      </w:r>
      <w:r>
        <w:rPr>
          <w:highlight w:val="none"/>
        </w:rPr>
        <w:t>000</w:t>
      </w:r>
      <w:r>
        <w:rPr>
          <w:rFonts w:hint="eastAsia"/>
          <w:highlight w:val="none"/>
        </w:rPr>
        <w:t>名学生及教师日常的就餐需求。</w:t>
      </w:r>
    </w:p>
    <w:p>
      <w:pPr>
        <w:spacing w:line="400" w:lineRule="exact"/>
        <w:ind w:firstLine="420" w:firstLineChars="200"/>
        <w:rPr>
          <w:highlight w:val="none"/>
        </w:rPr>
      </w:pPr>
      <w:r>
        <w:rPr>
          <w:rFonts w:hint="eastAsia"/>
          <w:highlight w:val="none"/>
        </w:rPr>
        <w:t>二期建设完成之后（计划未来共容纳3</w:t>
      </w:r>
      <w:r>
        <w:rPr>
          <w:highlight w:val="none"/>
        </w:rPr>
        <w:t>000</w:t>
      </w:r>
      <w:r>
        <w:rPr>
          <w:rFonts w:hint="eastAsia"/>
          <w:highlight w:val="none"/>
        </w:rPr>
        <w:t>名学生），餐厨实训课程将移至二期的实训空间，且将在二期另设新的食堂功能。未来，3</w:t>
      </w:r>
      <w:r>
        <w:rPr>
          <w:highlight w:val="none"/>
        </w:rPr>
        <w:t>#</w:t>
      </w:r>
      <w:r>
        <w:rPr>
          <w:rFonts w:hint="eastAsia"/>
          <w:highlight w:val="none"/>
        </w:rPr>
        <w:t>楼则主要承担部分师生的日常就餐，并考虑预留对外开放的可能性。</w:t>
      </w:r>
    </w:p>
    <w:p>
      <w:pPr>
        <w:pStyle w:val="3"/>
        <w:rPr>
          <w:highlight w:val="none"/>
        </w:rPr>
      </w:pPr>
      <w:bookmarkStart w:id="4" w:name="_Toc65691493"/>
      <w:bookmarkStart w:id="5" w:name="_Toc65691578"/>
      <w:bookmarkStart w:id="6" w:name="_Toc65691533"/>
      <w:r>
        <w:rPr>
          <w:rFonts w:hint="eastAsia"/>
          <w:highlight w:val="none"/>
        </w:rPr>
        <w:t>二、设计顾问的工作范围</w:t>
      </w:r>
      <w:bookmarkEnd w:id="4"/>
      <w:bookmarkEnd w:id="5"/>
      <w:bookmarkEnd w:id="6"/>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设计顾问的工作范围为该楼总建筑面积为1</w:t>
      </w:r>
      <w:r>
        <w:rPr>
          <w:rFonts w:ascii="宋体" w:hAnsi="宋体" w:cs="Arial"/>
          <w:bCs/>
          <w:sz w:val="24"/>
          <w:highlight w:val="none"/>
        </w:rPr>
        <w:t>736</w:t>
      </w:r>
      <w:r>
        <w:rPr>
          <w:rFonts w:hint="eastAsia" w:ascii="宋体" w:hAnsi="宋体" w:cs="Arial"/>
          <w:bCs/>
          <w:sz w:val="24"/>
          <w:highlight w:val="none"/>
        </w:rPr>
        <w:t>㎡，砖混结构，坡屋顶，一层将设实训厨房及配套，二层则是师生食堂。（具体建筑空间如下图）</w:t>
      </w:r>
    </w:p>
    <w:p>
      <w:pPr>
        <w:spacing w:line="400" w:lineRule="exact"/>
        <w:ind w:firstLine="480" w:firstLineChars="200"/>
        <w:rPr>
          <w:rFonts w:ascii="宋体" w:hAnsi="宋体" w:cs="Arial"/>
          <w:bCs/>
          <w:sz w:val="24"/>
          <w:highlight w:val="none"/>
        </w:rPr>
      </w:pPr>
      <w:r>
        <w:rPr>
          <w:rFonts w:ascii="宋体" w:hAnsi="宋体" w:cs="Arial"/>
          <w:bCs/>
          <w:color w:val="C0504D" w:themeColor="accent2"/>
          <w:sz w:val="24"/>
          <w:highlight w:val="none"/>
        </w:rPr>
        <w:drawing>
          <wp:anchor distT="0" distB="0" distL="114300" distR="114300" simplePos="0" relativeHeight="251661312" behindDoc="0" locked="0" layoutInCell="1" allowOverlap="1">
            <wp:simplePos x="0" y="0"/>
            <wp:positionH relativeFrom="column">
              <wp:posOffset>-288925</wp:posOffset>
            </wp:positionH>
            <wp:positionV relativeFrom="paragraph">
              <wp:posOffset>3507740</wp:posOffset>
            </wp:positionV>
            <wp:extent cx="5702935" cy="3176270"/>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cstate="print">
                      <a:extLst>
                        <a:ext uri="{28A0092B-C50C-407E-A947-70E740481C1C}">
                          <a14:useLocalDpi xmlns:a14="http://schemas.microsoft.com/office/drawing/2010/main" val="0"/>
                        </a:ext>
                      </a:extLst>
                    </a:blip>
                    <a:srcRect t="7105" b="14093"/>
                    <a:stretch>
                      <a:fillRect/>
                    </a:stretch>
                  </pic:blipFill>
                  <pic:spPr>
                    <a:xfrm>
                      <a:off x="0" y="0"/>
                      <a:ext cx="5702935" cy="3176270"/>
                    </a:xfrm>
                    <a:prstGeom prst="rect">
                      <a:avLst/>
                    </a:prstGeom>
                    <a:noFill/>
                    <a:ln>
                      <a:noFill/>
                    </a:ln>
                  </pic:spPr>
                </pic:pic>
              </a:graphicData>
            </a:graphic>
          </wp:anchor>
        </w:drawing>
      </w:r>
      <w:r>
        <w:rPr>
          <w:rFonts w:ascii="宋体" w:hAnsi="宋体" w:cs="Arial"/>
          <w:bCs/>
          <w:color w:val="C0504D" w:themeColor="accent2"/>
          <w:sz w:val="24"/>
          <w:highlight w:val="none"/>
        </w:rPr>
        <w:drawing>
          <wp:anchor distT="0" distB="0" distL="114300" distR="114300" simplePos="0" relativeHeight="251660288" behindDoc="0" locked="0" layoutInCell="1" allowOverlap="1">
            <wp:simplePos x="0" y="0"/>
            <wp:positionH relativeFrom="column">
              <wp:posOffset>-283210</wp:posOffset>
            </wp:positionH>
            <wp:positionV relativeFrom="paragraph">
              <wp:posOffset>410845</wp:posOffset>
            </wp:positionV>
            <wp:extent cx="5706110" cy="3140075"/>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t="7606" b="14528"/>
                    <a:stretch>
                      <a:fillRect/>
                    </a:stretch>
                  </pic:blipFill>
                  <pic:spPr>
                    <a:xfrm>
                      <a:off x="0" y="0"/>
                      <a:ext cx="5706110" cy="3140075"/>
                    </a:xfrm>
                    <a:prstGeom prst="rect">
                      <a:avLst/>
                    </a:prstGeom>
                    <a:noFill/>
                    <a:ln>
                      <a:noFill/>
                    </a:ln>
                  </pic:spPr>
                </pic:pic>
              </a:graphicData>
            </a:graphic>
          </wp:anchor>
        </w:drawing>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承重墙体（斜线填充表示）外，如有优化，可进行调整。承重墙体上如有开洞，请表达，后续将结合结构计算及加固方式等进行综合研判。</w:t>
      </w:r>
    </w:p>
    <w:p>
      <w:pPr>
        <w:pStyle w:val="3"/>
        <w:rPr>
          <w:highlight w:val="none"/>
        </w:rPr>
      </w:pPr>
      <w:bookmarkStart w:id="7" w:name="_Toc65691494"/>
      <w:bookmarkStart w:id="8" w:name="_Toc65691579"/>
      <w:bookmarkStart w:id="9" w:name="_Toc65691534"/>
      <w:r>
        <w:rPr>
          <w:rFonts w:hint="eastAsia"/>
          <w:highlight w:val="none"/>
        </w:rPr>
        <w:t>三、设计顾问的工作内容</w:t>
      </w:r>
      <w:bookmarkEnd w:id="7"/>
      <w:bookmarkEnd w:id="8"/>
      <w:bookmarkEnd w:id="9"/>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 xml:space="preserve">第一阶段 初步设计 </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 xml:space="preserve">第二阶段 深化设计 </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第三阶段 招标文件</w:t>
      </w:r>
      <w:r>
        <w:rPr>
          <w:rFonts w:hint="eastAsia" w:ascii="宋体" w:hAnsi="宋体" w:cs="Arial"/>
          <w:bCs/>
          <w:sz w:val="24"/>
          <w:highlight w:val="none"/>
          <w:lang w:val="en-US" w:eastAsia="zh-CN"/>
        </w:rPr>
        <w:t>需求部分</w:t>
      </w:r>
      <w:r>
        <w:rPr>
          <w:rFonts w:hint="eastAsia" w:ascii="宋体" w:hAnsi="宋体" w:cs="Arial"/>
          <w:bCs/>
          <w:sz w:val="24"/>
          <w:highlight w:val="none"/>
        </w:rPr>
        <w:t xml:space="preserve">编制 </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 xml:space="preserve">第四阶段 招标、评标 </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 xml:space="preserve">第五阶段 施工管理 </w:t>
      </w:r>
    </w:p>
    <w:p>
      <w:pPr>
        <w:pStyle w:val="3"/>
        <w:rPr>
          <w:highlight w:val="none"/>
        </w:rPr>
      </w:pPr>
      <w:bookmarkStart w:id="10" w:name="_Toc65691495"/>
      <w:bookmarkStart w:id="11" w:name="_Toc65691535"/>
      <w:bookmarkStart w:id="12" w:name="_Toc65691580"/>
      <w:r>
        <w:rPr>
          <w:rFonts w:hint="eastAsia"/>
          <w:highlight w:val="none"/>
        </w:rPr>
        <w:t>四、设计内容及服务范围</w:t>
      </w:r>
      <w:bookmarkEnd w:id="10"/>
      <w:bookmarkEnd w:id="11"/>
      <w:bookmarkEnd w:id="12"/>
    </w:p>
    <w:p>
      <w:pPr>
        <w:spacing w:line="400" w:lineRule="exact"/>
        <w:ind w:firstLine="482" w:firstLineChars="200"/>
        <w:rPr>
          <w:rFonts w:ascii="宋体" w:hAnsi="宋体" w:cs="Arial"/>
          <w:b/>
          <w:bCs/>
          <w:sz w:val="24"/>
          <w:highlight w:val="none"/>
        </w:rPr>
      </w:pPr>
      <w:r>
        <w:rPr>
          <w:rFonts w:ascii="宋体" w:hAnsi="宋体" w:cs="Arial"/>
          <w:b/>
          <w:bCs/>
          <w:sz w:val="24"/>
          <w:highlight w:val="none"/>
        </w:rPr>
        <w:t xml:space="preserve">1. </w:t>
      </w:r>
      <w:r>
        <w:rPr>
          <w:rFonts w:hint="eastAsia" w:ascii="宋体" w:hAnsi="宋体" w:cs="Arial"/>
          <w:b/>
          <w:bCs/>
          <w:sz w:val="24"/>
          <w:highlight w:val="none"/>
        </w:rPr>
        <w:t>初步设计阶段–数据搜集及概念设计</w:t>
      </w:r>
    </w:p>
    <w:p>
      <w:pPr>
        <w:spacing w:line="400" w:lineRule="exact"/>
        <w:ind w:firstLine="480" w:firstLineChars="200"/>
        <w:rPr>
          <w:rFonts w:ascii="宋体" w:hAnsi="宋体" w:cs="Arial"/>
          <w:bCs/>
          <w:sz w:val="24"/>
          <w:highlight w:val="none"/>
        </w:rPr>
      </w:pPr>
      <w:r>
        <w:rPr>
          <w:rFonts w:ascii="宋体" w:hAnsi="宋体" w:cs="Arial"/>
          <w:bCs/>
          <w:sz w:val="24"/>
          <w:highlight w:val="none"/>
        </w:rPr>
        <w:t xml:space="preserve">1.1 </w:t>
      </w:r>
      <w:r>
        <w:rPr>
          <w:rFonts w:hint="eastAsia" w:ascii="宋体" w:hAnsi="宋体" w:cs="Arial"/>
          <w:bCs/>
          <w:sz w:val="24"/>
          <w:highlight w:val="none"/>
        </w:rPr>
        <w:t>根据甲方提供建筑方案,</w:t>
      </w:r>
      <w:r>
        <w:rPr>
          <w:rFonts w:hint="eastAsia" w:ascii="宋体" w:hAnsi="宋体" w:cs="Arial"/>
          <w:bCs/>
          <w:sz w:val="24"/>
          <w:highlight w:val="none"/>
        </w:rPr>
        <w:t>实操课程设置</w:t>
      </w:r>
      <w:r>
        <w:rPr>
          <w:rFonts w:hint="eastAsia" w:ascii="宋体" w:hAnsi="宋体" w:cs="Arial"/>
          <w:bCs/>
          <w:sz w:val="24"/>
          <w:highlight w:val="none"/>
        </w:rPr>
        <w:t>，设计实训厨房及食堂，包括设备平面布置图设计说明等。</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1.1.1</w:t>
      </w:r>
      <w:r>
        <w:rPr>
          <w:rFonts w:ascii="宋体" w:hAnsi="宋体" w:cs="Arial"/>
          <w:bCs/>
          <w:sz w:val="24"/>
          <w:highlight w:val="none"/>
        </w:rPr>
        <w:t>对</w:t>
      </w:r>
      <w:r>
        <w:rPr>
          <w:rFonts w:hint="eastAsia" w:ascii="宋体" w:hAnsi="宋体" w:cs="Arial"/>
          <w:bCs/>
          <w:sz w:val="24"/>
          <w:highlight w:val="none"/>
        </w:rPr>
        <w:t>厨房</w:t>
      </w:r>
      <w:r>
        <w:rPr>
          <w:rFonts w:ascii="宋体" w:hAnsi="宋体" w:cs="Arial"/>
          <w:bCs/>
          <w:sz w:val="24"/>
          <w:highlight w:val="none"/>
        </w:rPr>
        <w:t>规模进行论证</w:t>
      </w:r>
      <w:r>
        <w:rPr>
          <w:rFonts w:hint="eastAsia" w:ascii="宋体" w:hAnsi="宋体" w:cs="Arial"/>
          <w:bCs/>
          <w:sz w:val="24"/>
          <w:highlight w:val="none"/>
        </w:rPr>
        <w:t>、运输</w:t>
      </w:r>
      <w:r>
        <w:rPr>
          <w:rFonts w:ascii="宋体" w:hAnsi="宋体" w:cs="Arial"/>
          <w:bCs/>
          <w:sz w:val="24"/>
          <w:highlight w:val="none"/>
        </w:rPr>
        <w:t>通道提供合理的建议。</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1.1.2在平面设计、流线考虑、餐饮特殊设备选择、室内设计配合等方面的要求参考甲方要求</w:t>
      </w:r>
      <w:r>
        <w:rPr>
          <w:rFonts w:ascii="宋体" w:hAnsi="宋体" w:cs="Arial"/>
          <w:bCs/>
          <w:sz w:val="24"/>
          <w:highlight w:val="none"/>
        </w:rPr>
        <w:t>。</w:t>
      </w:r>
    </w:p>
    <w:p>
      <w:pPr>
        <w:spacing w:line="400" w:lineRule="exact"/>
        <w:ind w:firstLine="480" w:firstLineChars="200"/>
        <w:rPr>
          <w:rFonts w:ascii="宋体" w:hAnsi="宋体" w:cs="Arial"/>
          <w:bCs/>
          <w:sz w:val="24"/>
          <w:highlight w:val="none"/>
        </w:rPr>
      </w:pPr>
      <w:r>
        <w:rPr>
          <w:rFonts w:ascii="宋体" w:hAnsi="宋体" w:cs="Arial"/>
          <w:bCs/>
          <w:sz w:val="24"/>
          <w:highlight w:val="none"/>
        </w:rPr>
        <w:t xml:space="preserve">1.2 </w:t>
      </w:r>
      <w:r>
        <w:rPr>
          <w:rFonts w:hint="eastAsia" w:ascii="宋体" w:hAnsi="宋体" w:cs="Arial"/>
          <w:bCs/>
          <w:sz w:val="24"/>
          <w:highlight w:val="none"/>
        </w:rPr>
        <w:t>编制设备概算</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根据初步设计方案编制设备概算。</w:t>
      </w:r>
    </w:p>
    <w:p>
      <w:pPr>
        <w:spacing w:line="400" w:lineRule="exact"/>
        <w:ind w:firstLine="480" w:firstLineChars="200"/>
        <w:rPr>
          <w:rFonts w:ascii="宋体" w:hAnsi="宋体" w:cs="Arial"/>
          <w:bCs/>
          <w:sz w:val="24"/>
          <w:highlight w:val="none"/>
        </w:rPr>
      </w:pPr>
      <w:r>
        <w:rPr>
          <w:rFonts w:ascii="宋体" w:hAnsi="宋体" w:cs="Arial"/>
          <w:bCs/>
          <w:sz w:val="24"/>
          <w:highlight w:val="none"/>
        </w:rPr>
        <w:t xml:space="preserve">1.3 </w:t>
      </w:r>
      <w:r>
        <w:rPr>
          <w:rFonts w:hint="eastAsia" w:ascii="宋体" w:hAnsi="宋体" w:cs="Arial"/>
          <w:bCs/>
          <w:sz w:val="24"/>
          <w:highlight w:val="none"/>
        </w:rPr>
        <w:t>与其它设计顾问公司进行设计协调及参加有关协调设计工作会议。</w:t>
      </w:r>
    </w:p>
    <w:p>
      <w:pPr>
        <w:spacing w:line="400" w:lineRule="exact"/>
        <w:ind w:firstLine="480" w:firstLineChars="200"/>
        <w:rPr>
          <w:rFonts w:ascii="宋体" w:hAnsi="宋体" w:cs="Arial"/>
          <w:bCs/>
          <w:sz w:val="24"/>
          <w:highlight w:val="none"/>
        </w:rPr>
      </w:pPr>
      <w:r>
        <w:rPr>
          <w:rFonts w:ascii="宋体" w:hAnsi="宋体" w:cs="Arial"/>
          <w:bCs/>
          <w:sz w:val="24"/>
          <w:highlight w:val="none"/>
        </w:rPr>
        <w:t xml:space="preserve">1.4 </w:t>
      </w:r>
      <w:r>
        <w:rPr>
          <w:rFonts w:hint="eastAsia" w:ascii="宋体" w:hAnsi="宋体" w:cs="Arial"/>
          <w:bCs/>
          <w:sz w:val="24"/>
          <w:highlight w:val="none"/>
        </w:rPr>
        <w:t>提供设计方案（餐饮动线和各功能区域厨房位置）及修改因协调配合过程中的有关图纸及说明书。</w:t>
      </w:r>
    </w:p>
    <w:p>
      <w:pPr>
        <w:spacing w:line="400" w:lineRule="exact"/>
        <w:ind w:firstLine="480" w:firstLineChars="200"/>
        <w:rPr>
          <w:rFonts w:ascii="宋体" w:hAnsi="宋体" w:cs="Arial"/>
          <w:bCs/>
          <w:sz w:val="24"/>
          <w:highlight w:val="none"/>
        </w:rPr>
      </w:pPr>
      <w:r>
        <w:rPr>
          <w:rFonts w:ascii="宋体" w:hAnsi="宋体" w:cs="Arial"/>
          <w:bCs/>
          <w:sz w:val="24"/>
          <w:highlight w:val="none"/>
        </w:rPr>
        <w:t xml:space="preserve">1.5 </w:t>
      </w:r>
      <w:r>
        <w:rPr>
          <w:rFonts w:hint="eastAsia" w:ascii="宋体" w:hAnsi="宋体" w:cs="Arial"/>
          <w:bCs/>
          <w:sz w:val="24"/>
          <w:highlight w:val="none"/>
        </w:rPr>
        <w:t>根据初步方案机电估算需求并交业主与机电顾问进行机电及有关机电配套等深化设计预留。</w:t>
      </w:r>
    </w:p>
    <w:p>
      <w:pPr>
        <w:spacing w:line="400" w:lineRule="exact"/>
        <w:ind w:firstLine="480" w:firstLineChars="200"/>
        <w:rPr>
          <w:rFonts w:ascii="宋体" w:hAnsi="宋体" w:cs="Arial"/>
          <w:bCs/>
          <w:sz w:val="24"/>
          <w:highlight w:val="none"/>
        </w:rPr>
      </w:pPr>
      <w:r>
        <w:rPr>
          <w:rFonts w:ascii="宋体" w:hAnsi="宋体" w:cs="Arial"/>
          <w:bCs/>
          <w:sz w:val="24"/>
          <w:highlight w:val="none"/>
        </w:rPr>
        <w:t>1.5</w:t>
      </w:r>
      <w:r>
        <w:rPr>
          <w:rFonts w:hint="eastAsia" w:ascii="宋体" w:hAnsi="宋体" w:cs="Arial"/>
          <w:bCs/>
          <w:sz w:val="24"/>
          <w:highlight w:val="none"/>
        </w:rPr>
        <w:t>.</w:t>
      </w:r>
      <w:r>
        <w:rPr>
          <w:rFonts w:ascii="宋体" w:hAnsi="宋体" w:cs="Arial"/>
          <w:bCs/>
          <w:sz w:val="24"/>
          <w:highlight w:val="none"/>
        </w:rPr>
        <w:t>1</w:t>
      </w:r>
      <w:r>
        <w:rPr>
          <w:rFonts w:hint="eastAsia" w:ascii="宋体" w:hAnsi="宋体" w:cs="Arial"/>
          <w:bCs/>
          <w:sz w:val="24"/>
          <w:highlight w:val="none"/>
        </w:rPr>
        <w:t>机电需求估算表应包含以下内容供业主及机电顾问核实可行性：燃气量、耗电量、排水、冷热供水及排气</w:t>
      </w:r>
      <w:r>
        <w:rPr>
          <w:rFonts w:ascii="宋体" w:hAnsi="宋体" w:cs="Arial"/>
          <w:bCs/>
          <w:sz w:val="24"/>
          <w:highlight w:val="none"/>
        </w:rPr>
        <w:t xml:space="preserve"> / </w:t>
      </w:r>
      <w:r>
        <w:rPr>
          <w:rFonts w:hint="eastAsia" w:ascii="宋体" w:hAnsi="宋体" w:cs="Arial"/>
          <w:bCs/>
          <w:sz w:val="24"/>
          <w:highlight w:val="none"/>
        </w:rPr>
        <w:t>烟量。</w:t>
      </w:r>
    </w:p>
    <w:p>
      <w:pPr>
        <w:spacing w:line="400" w:lineRule="exact"/>
        <w:ind w:firstLine="480" w:firstLineChars="200"/>
        <w:rPr>
          <w:rFonts w:ascii="宋体" w:hAnsi="宋体" w:cs="Arial"/>
          <w:bCs/>
          <w:sz w:val="24"/>
          <w:highlight w:val="none"/>
        </w:rPr>
      </w:pPr>
      <w:r>
        <w:rPr>
          <w:rFonts w:ascii="宋体" w:hAnsi="宋体" w:cs="Arial"/>
          <w:bCs/>
          <w:sz w:val="24"/>
          <w:highlight w:val="none"/>
        </w:rPr>
        <w:t>1.</w:t>
      </w:r>
      <w:r>
        <w:rPr>
          <w:rFonts w:hint="eastAsia" w:ascii="宋体" w:hAnsi="宋体" w:cs="Arial"/>
          <w:bCs/>
          <w:sz w:val="24"/>
          <w:highlight w:val="none"/>
        </w:rPr>
        <w:t>6初步设计陈述</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在进行下一个阶段前，顾问单位将向业主和建筑设计单位汇报最终的初步设计方案，获得最终审核批准后方可进行下一阶段设计。</w:t>
      </w:r>
    </w:p>
    <w:p>
      <w:pPr>
        <w:spacing w:line="400" w:lineRule="exact"/>
        <w:ind w:firstLine="482" w:firstLineChars="200"/>
        <w:rPr>
          <w:rFonts w:ascii="宋体" w:hAnsi="宋体" w:cs="Arial"/>
          <w:b/>
          <w:bCs/>
          <w:sz w:val="24"/>
          <w:highlight w:val="none"/>
        </w:rPr>
      </w:pPr>
      <w:r>
        <w:rPr>
          <w:rFonts w:ascii="宋体" w:hAnsi="宋体" w:cs="Arial"/>
          <w:b/>
          <w:bCs/>
          <w:sz w:val="24"/>
          <w:highlight w:val="none"/>
        </w:rPr>
        <w:t xml:space="preserve">2. </w:t>
      </w:r>
      <w:r>
        <w:rPr>
          <w:rFonts w:hint="eastAsia" w:ascii="宋体" w:hAnsi="宋体" w:cs="Arial"/>
          <w:b/>
          <w:bCs/>
          <w:sz w:val="24"/>
          <w:highlight w:val="none"/>
        </w:rPr>
        <w:t>深化设计阶段–编制详细设计图纸和设备文件</w:t>
      </w:r>
    </w:p>
    <w:p>
      <w:pPr>
        <w:spacing w:line="400" w:lineRule="exact"/>
        <w:ind w:firstLine="480" w:firstLineChars="200"/>
        <w:rPr>
          <w:rFonts w:ascii="宋体" w:hAnsi="宋体" w:cs="Arial"/>
          <w:bCs/>
          <w:sz w:val="24"/>
          <w:highlight w:val="none"/>
        </w:rPr>
      </w:pPr>
      <w:r>
        <w:rPr>
          <w:rFonts w:ascii="宋体" w:hAnsi="宋体" w:cs="Arial"/>
          <w:bCs/>
          <w:sz w:val="24"/>
          <w:highlight w:val="none"/>
        </w:rPr>
        <w:t xml:space="preserve">2.1 </w:t>
      </w:r>
      <w:r>
        <w:rPr>
          <w:rFonts w:hint="eastAsia" w:ascii="宋体" w:hAnsi="宋体" w:cs="Arial"/>
          <w:bCs/>
          <w:sz w:val="24"/>
          <w:highlight w:val="none"/>
        </w:rPr>
        <w:t>设计方案及设备规格</w:t>
      </w:r>
      <w:r>
        <w:rPr>
          <w:rFonts w:ascii="宋体" w:hAnsi="宋体" w:cs="Arial"/>
          <w:bCs/>
          <w:sz w:val="24"/>
          <w:highlight w:val="none"/>
        </w:rPr>
        <w:t>:</w:t>
      </w:r>
    </w:p>
    <w:p>
      <w:pPr>
        <w:spacing w:line="400" w:lineRule="exact"/>
        <w:ind w:firstLine="480" w:firstLineChars="200"/>
        <w:rPr>
          <w:rFonts w:ascii="宋体" w:hAnsi="宋体" w:cs="Arial"/>
          <w:bCs/>
          <w:sz w:val="24"/>
          <w:highlight w:val="none"/>
        </w:rPr>
      </w:pPr>
      <w:r>
        <w:rPr>
          <w:rFonts w:ascii="宋体" w:hAnsi="宋体" w:cs="Arial"/>
          <w:bCs/>
          <w:sz w:val="24"/>
          <w:highlight w:val="none"/>
        </w:rPr>
        <w:t>(</w:t>
      </w:r>
      <w:r>
        <w:rPr>
          <w:rFonts w:hint="eastAsia" w:ascii="宋体" w:hAnsi="宋体" w:cs="Arial"/>
          <w:bCs/>
          <w:sz w:val="24"/>
          <w:highlight w:val="none"/>
        </w:rPr>
        <w:t>一</w:t>
      </w:r>
      <w:r>
        <w:rPr>
          <w:rFonts w:ascii="宋体" w:hAnsi="宋体" w:cs="Arial"/>
          <w:bCs/>
          <w:sz w:val="24"/>
          <w:highlight w:val="none"/>
        </w:rPr>
        <w:t xml:space="preserve">) </w:t>
      </w:r>
      <w:r>
        <w:rPr>
          <w:rFonts w:hint="eastAsia" w:ascii="宋体" w:hAnsi="宋体" w:cs="Arial"/>
          <w:bCs/>
          <w:sz w:val="24"/>
          <w:highlight w:val="none"/>
        </w:rPr>
        <w:t>编制</w:t>
      </w:r>
      <w:r>
        <w:rPr>
          <w:rFonts w:ascii="宋体" w:hAnsi="宋体" w:cs="Arial"/>
          <w:bCs/>
          <w:sz w:val="24"/>
          <w:highlight w:val="none"/>
        </w:rPr>
        <w:t>1:100</w:t>
      </w:r>
      <w:r>
        <w:rPr>
          <w:rFonts w:hint="eastAsia" w:ascii="宋体" w:hAnsi="宋体" w:cs="Arial"/>
          <w:bCs/>
          <w:sz w:val="24"/>
          <w:highlight w:val="none"/>
        </w:rPr>
        <w:t>比例厨房设备平面图；</w:t>
      </w:r>
    </w:p>
    <w:p>
      <w:pPr>
        <w:spacing w:line="400" w:lineRule="exact"/>
        <w:ind w:firstLine="480" w:firstLineChars="200"/>
        <w:rPr>
          <w:rFonts w:ascii="宋体" w:hAnsi="宋体" w:cs="Arial"/>
          <w:bCs/>
          <w:sz w:val="24"/>
          <w:highlight w:val="none"/>
        </w:rPr>
      </w:pPr>
      <w:r>
        <w:rPr>
          <w:rFonts w:ascii="宋体" w:hAnsi="宋体" w:cs="Arial"/>
          <w:bCs/>
          <w:sz w:val="24"/>
          <w:highlight w:val="none"/>
        </w:rPr>
        <w:t>(</w:t>
      </w:r>
      <w:r>
        <w:rPr>
          <w:rFonts w:hint="eastAsia" w:ascii="宋体" w:hAnsi="宋体" w:cs="Arial"/>
          <w:bCs/>
          <w:sz w:val="24"/>
          <w:highlight w:val="none"/>
        </w:rPr>
        <w:t>二</w:t>
      </w:r>
      <w:r>
        <w:rPr>
          <w:rFonts w:ascii="宋体" w:hAnsi="宋体" w:cs="Arial"/>
          <w:bCs/>
          <w:sz w:val="24"/>
          <w:highlight w:val="none"/>
        </w:rPr>
        <w:t xml:space="preserve">) </w:t>
      </w:r>
      <w:r>
        <w:rPr>
          <w:rFonts w:hint="eastAsia" w:ascii="宋体" w:hAnsi="宋体" w:cs="Arial"/>
          <w:bCs/>
          <w:sz w:val="24"/>
          <w:highlight w:val="none"/>
        </w:rPr>
        <w:t>所有特殊设备按1:25比例编制立面和剖面大样图，以便清楚显示设备要求及安装方式。立、剖面图包括进口和工厂定制设备，但不包括餐厅的装饰；</w:t>
      </w:r>
    </w:p>
    <w:p>
      <w:pPr>
        <w:spacing w:line="400" w:lineRule="exact"/>
        <w:ind w:firstLine="480" w:firstLineChars="200"/>
        <w:rPr>
          <w:rFonts w:ascii="宋体" w:hAnsi="宋体" w:cs="Arial"/>
          <w:bCs/>
          <w:sz w:val="24"/>
          <w:highlight w:val="none"/>
        </w:rPr>
      </w:pPr>
      <w:r>
        <w:rPr>
          <w:rFonts w:ascii="宋体" w:hAnsi="宋体" w:cs="Arial"/>
          <w:bCs/>
          <w:sz w:val="24"/>
          <w:highlight w:val="none"/>
        </w:rPr>
        <w:t>(</w:t>
      </w:r>
      <w:r>
        <w:rPr>
          <w:rFonts w:hint="eastAsia" w:ascii="宋体" w:hAnsi="宋体" w:cs="Arial"/>
          <w:bCs/>
          <w:sz w:val="24"/>
          <w:highlight w:val="none"/>
        </w:rPr>
        <w:t>三</w:t>
      </w:r>
      <w:r>
        <w:rPr>
          <w:rFonts w:ascii="宋体" w:hAnsi="宋体" w:cs="Arial"/>
          <w:bCs/>
          <w:sz w:val="24"/>
          <w:highlight w:val="none"/>
        </w:rPr>
        <w:t xml:space="preserve">) </w:t>
      </w:r>
      <w:r>
        <w:rPr>
          <w:rFonts w:hint="eastAsia" w:ascii="宋体" w:hAnsi="宋体" w:cs="Arial"/>
          <w:bCs/>
          <w:sz w:val="24"/>
          <w:highlight w:val="none"/>
        </w:rPr>
        <w:t>编制</w:t>
      </w:r>
      <w:r>
        <w:rPr>
          <w:rFonts w:ascii="宋体" w:hAnsi="宋体" w:cs="Arial"/>
          <w:bCs/>
          <w:sz w:val="24"/>
          <w:highlight w:val="none"/>
        </w:rPr>
        <w:t>1:100</w:t>
      </w:r>
      <w:r>
        <w:rPr>
          <w:rFonts w:hint="eastAsia" w:ascii="宋体" w:hAnsi="宋体" w:cs="Arial"/>
          <w:bCs/>
          <w:sz w:val="24"/>
          <w:highlight w:val="none"/>
        </w:rPr>
        <w:t>比例机电预留点位图；</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顾问单位将提供管道和电气连接的点位平面图，为工作范围内餐饮服务设备要求的燃气、给水、排水、电气及其他餐饮设施所需的机电要求标注负荷量、尺寸、位置和连接要求。</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（四）土建条件平面图</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按已确认的设计图纸提供适合设备及餐饮运营的土建图纸，确定设备放置要求和位置，其中须标示出地面的高度、地板凹处、关键处间隔、管道或套管的位置、地沟、混凝土地台、分隔墙及地漏位置等。</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（五）排气罩要求</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顾问单位负责提供排气罩的位置、尺寸和规格，包括排气和供气管道连接尺寸、风量要求、静压要求，负责提供所有机械系统的设计和文件以支持排气罩的要求，同时保持该系统的平衡性和完整性。</w:t>
      </w:r>
    </w:p>
    <w:p>
      <w:pPr>
        <w:spacing w:line="400" w:lineRule="exact"/>
        <w:ind w:firstLine="600" w:firstLineChars="250"/>
        <w:rPr>
          <w:rFonts w:ascii="宋体" w:hAnsi="宋体" w:cs="Arial"/>
          <w:bCs/>
          <w:sz w:val="24"/>
          <w:highlight w:val="none"/>
        </w:rPr>
      </w:pPr>
      <w:r>
        <w:rPr>
          <w:rFonts w:ascii="宋体" w:hAnsi="宋体" w:cs="Arial"/>
          <w:bCs/>
          <w:sz w:val="24"/>
          <w:highlight w:val="none"/>
        </w:rPr>
        <w:t>(</w:t>
      </w:r>
      <w:r>
        <w:rPr>
          <w:rFonts w:hint="eastAsia" w:ascii="宋体" w:hAnsi="宋体" w:cs="Arial"/>
          <w:bCs/>
          <w:sz w:val="24"/>
          <w:highlight w:val="none"/>
        </w:rPr>
        <w:t>六</w:t>
      </w:r>
      <w:r>
        <w:rPr>
          <w:rFonts w:ascii="宋体" w:hAnsi="宋体" w:cs="Arial"/>
          <w:bCs/>
          <w:sz w:val="24"/>
          <w:highlight w:val="none"/>
        </w:rPr>
        <w:t>)</w:t>
      </w:r>
      <w:r>
        <w:rPr>
          <w:rFonts w:hint="eastAsia" w:ascii="宋体" w:hAnsi="宋体" w:cs="Arial"/>
          <w:bCs/>
          <w:sz w:val="24"/>
          <w:highlight w:val="none"/>
        </w:rPr>
        <w:t xml:space="preserve"> 设备明细表及机电数据；若包含进口设备，需提供设备样本。</w:t>
      </w:r>
    </w:p>
    <w:p>
      <w:pPr>
        <w:spacing w:line="400" w:lineRule="exact"/>
        <w:ind w:firstLine="600" w:firstLineChars="250"/>
        <w:rPr>
          <w:rFonts w:ascii="宋体" w:hAnsi="宋体" w:cs="Arial"/>
          <w:bCs/>
          <w:sz w:val="24"/>
          <w:highlight w:val="none"/>
        </w:rPr>
      </w:pPr>
      <w:r>
        <w:rPr>
          <w:rFonts w:hint="eastAsia" w:ascii="宋体" w:hAnsi="宋体" w:cs="Arial"/>
          <w:bCs/>
          <w:sz w:val="24"/>
          <w:highlight w:val="none"/>
        </w:rPr>
        <w:t>(七)节点大样</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顾问单位将提供节点大样，供招标使用。</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(八)补充图纸</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对于特殊的定制设备，由顾问单位补充资料以详细描述。</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(九)需要提供的图纸包括但不限于以下部分：</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①设备布置平面图</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②土建装修平面图</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③排风暖通接驳点位图、大样图</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④电气动力接驳点位图、大样图</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⑤给水排水接驳点位图、大样图</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⑥蒸汽燃气接驳点位图、大样图</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2.2根据深化设计图纸编制详细的设备预算，预算总价表包括供应及安装所有厨房设备。顾问单位应尽力确保预算能达到业主要求，若最终投标总额超过目标成本，业主有权要求顾问单位修改设计，顾问单位不额外收取任何费用。</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2.3顾问单位通过会议将机电及安装要求向机电顾问和设计院进行交底。</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2.4顾问单位需要</w:t>
      </w:r>
      <w:r>
        <w:rPr>
          <w:rFonts w:ascii="宋体" w:hAnsi="宋体" w:cs="Arial"/>
          <w:bCs/>
          <w:sz w:val="24"/>
          <w:highlight w:val="none"/>
        </w:rPr>
        <w:t>配合</w:t>
      </w:r>
      <w:r>
        <w:rPr>
          <w:rFonts w:hint="eastAsia" w:ascii="宋体" w:hAnsi="宋体" w:cs="Arial"/>
          <w:bCs/>
          <w:sz w:val="24"/>
          <w:highlight w:val="none"/>
        </w:rPr>
        <w:t>室内</w:t>
      </w:r>
      <w:r>
        <w:rPr>
          <w:rFonts w:ascii="宋体" w:hAnsi="宋体" w:cs="Arial"/>
          <w:bCs/>
          <w:sz w:val="24"/>
          <w:highlight w:val="none"/>
        </w:rPr>
        <w:t>设计公司处理厨房与餐厅的界面设计。</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2.5顾问单位需要协助业主通过国内卫生、环保、消防等部门的报批。包括提供在顾问单位工作范围内的设计图、文件和说明等资料及协助澄清有关疑问以达到批准要求。如业主提交文件后政府相关部门要求修改设计，顾问单位将按政府部门要求修改设计并且不收取任何额外费用。</w:t>
      </w:r>
    </w:p>
    <w:p>
      <w:pPr>
        <w:spacing w:line="400" w:lineRule="exact"/>
        <w:ind w:firstLine="480" w:firstLineChars="200"/>
        <w:rPr>
          <w:rFonts w:ascii="宋体" w:hAnsi="宋体" w:cs="Arial"/>
          <w:bCs/>
          <w:sz w:val="24"/>
          <w:highlight w:val="none"/>
        </w:rPr>
      </w:pPr>
      <w:r>
        <w:rPr>
          <w:rFonts w:ascii="宋体" w:hAnsi="宋体" w:cs="Arial"/>
          <w:bCs/>
          <w:sz w:val="24"/>
          <w:highlight w:val="none"/>
        </w:rPr>
        <w:t>2.</w:t>
      </w:r>
      <w:r>
        <w:rPr>
          <w:rFonts w:hint="eastAsia" w:ascii="宋体" w:hAnsi="宋体" w:cs="Arial"/>
          <w:bCs/>
          <w:sz w:val="24"/>
          <w:highlight w:val="none"/>
        </w:rPr>
        <w:t>6深化设计陈述</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在进行下一个阶段之前，顾问单位将向业主和建筑师陈述最终深化设计以便获得批准。</w:t>
      </w:r>
    </w:p>
    <w:p>
      <w:pPr>
        <w:spacing w:line="400" w:lineRule="exact"/>
        <w:ind w:firstLine="482" w:firstLineChars="200"/>
        <w:rPr>
          <w:rFonts w:ascii="宋体" w:hAnsi="宋体" w:cs="Arial"/>
          <w:b/>
          <w:bCs/>
          <w:sz w:val="24"/>
          <w:highlight w:val="none"/>
        </w:rPr>
      </w:pPr>
      <w:r>
        <w:rPr>
          <w:rFonts w:hint="eastAsia" w:ascii="宋体" w:hAnsi="宋体" w:cs="Arial"/>
          <w:b/>
          <w:bCs/>
          <w:sz w:val="24"/>
          <w:highlight w:val="none"/>
        </w:rPr>
        <w:t>3.招标文件编制阶段</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3.1编制厨房设备招标文件，包括设备详细规格说明</w:t>
      </w:r>
      <w:r>
        <w:rPr>
          <w:rFonts w:ascii="宋体" w:hAnsi="宋体" w:cs="Arial"/>
          <w:bCs/>
          <w:sz w:val="24"/>
          <w:highlight w:val="none"/>
        </w:rPr>
        <w:t>(</w:t>
      </w:r>
      <w:r>
        <w:rPr>
          <w:rFonts w:hint="eastAsia" w:ascii="宋体" w:hAnsi="宋体" w:cs="Arial"/>
          <w:bCs/>
          <w:sz w:val="24"/>
          <w:highlight w:val="none"/>
        </w:rPr>
        <w:t>如设备尺寸、品牌、型号，并附设备说明及技术数据</w:t>
      </w:r>
      <w:r>
        <w:rPr>
          <w:rFonts w:ascii="宋体" w:hAnsi="宋体" w:cs="Arial"/>
          <w:bCs/>
          <w:sz w:val="24"/>
          <w:highlight w:val="none"/>
        </w:rPr>
        <w:t>)</w:t>
      </w:r>
      <w:r>
        <w:rPr>
          <w:rFonts w:hint="eastAsia" w:ascii="宋体" w:hAnsi="宋体" w:cs="Arial"/>
          <w:bCs/>
          <w:sz w:val="24"/>
          <w:highlight w:val="none"/>
        </w:rPr>
        <w:t>、工程数量清单及厨房设备平面图，包括但不限于以下内容：</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3.1.1</w:t>
      </w:r>
      <w:r>
        <w:rPr>
          <w:rFonts w:ascii="宋体" w:hAnsi="宋体" w:cs="Arial"/>
          <w:bCs/>
          <w:sz w:val="24"/>
          <w:highlight w:val="none"/>
        </w:rPr>
        <w:t>对于所采购的设备都会有一个主推荐设备品牌及制造厂商，</w:t>
      </w:r>
      <w:r>
        <w:rPr>
          <w:rFonts w:hint="eastAsia" w:ascii="宋体" w:hAnsi="宋体" w:cs="Arial"/>
          <w:bCs/>
          <w:sz w:val="24"/>
          <w:highlight w:val="none"/>
        </w:rPr>
        <w:t>两</w:t>
      </w:r>
      <w:r>
        <w:rPr>
          <w:rFonts w:ascii="宋体" w:hAnsi="宋体" w:cs="Arial"/>
          <w:bCs/>
          <w:sz w:val="24"/>
          <w:highlight w:val="none"/>
        </w:rPr>
        <w:t>个可供选用的品牌及制造厂商。</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3.1.2</w:t>
      </w:r>
      <w:r>
        <w:rPr>
          <w:rFonts w:ascii="宋体" w:hAnsi="宋体" w:cs="Arial"/>
          <w:bCs/>
          <w:sz w:val="24"/>
          <w:highlight w:val="none"/>
        </w:rPr>
        <w:t>对全部进口或国产的定型</w:t>
      </w:r>
      <w:r>
        <w:rPr>
          <w:rFonts w:hint="eastAsia" w:ascii="宋体" w:hAnsi="宋体" w:cs="Arial"/>
          <w:bCs/>
          <w:sz w:val="24"/>
          <w:highlight w:val="none"/>
        </w:rPr>
        <w:t>、</w:t>
      </w:r>
      <w:r>
        <w:rPr>
          <w:rFonts w:ascii="宋体" w:hAnsi="宋体" w:cs="Arial"/>
          <w:bCs/>
          <w:sz w:val="24"/>
          <w:highlight w:val="none"/>
        </w:rPr>
        <w:t>定牌产品，需提供产品说明书，并注明产地。</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3.1.3</w:t>
      </w:r>
      <w:r>
        <w:rPr>
          <w:rFonts w:ascii="宋体" w:hAnsi="宋体" w:cs="Arial"/>
          <w:bCs/>
          <w:sz w:val="24"/>
          <w:highlight w:val="none"/>
        </w:rPr>
        <w:t>对全部不锈钢委托制造厂商加工的制品，每一件制品需对应一份大样图，并注明工艺</w:t>
      </w:r>
      <w:r>
        <w:rPr>
          <w:rFonts w:hint="eastAsia" w:ascii="宋体" w:hAnsi="宋体" w:cs="Arial"/>
          <w:bCs/>
          <w:sz w:val="24"/>
          <w:highlight w:val="none"/>
        </w:rPr>
        <w:t>、</w:t>
      </w:r>
      <w:r>
        <w:rPr>
          <w:rFonts w:ascii="宋体" w:hAnsi="宋体" w:cs="Arial"/>
          <w:bCs/>
          <w:sz w:val="24"/>
          <w:highlight w:val="none"/>
        </w:rPr>
        <w:t>材质</w:t>
      </w:r>
      <w:r>
        <w:rPr>
          <w:rFonts w:hint="eastAsia" w:ascii="宋体" w:hAnsi="宋体" w:cs="Arial"/>
          <w:bCs/>
          <w:sz w:val="24"/>
          <w:highlight w:val="none"/>
        </w:rPr>
        <w:t>、</w:t>
      </w:r>
      <w:r>
        <w:rPr>
          <w:rFonts w:ascii="宋体" w:hAnsi="宋体" w:cs="Arial"/>
          <w:bCs/>
          <w:sz w:val="24"/>
          <w:highlight w:val="none"/>
        </w:rPr>
        <w:t>技术要求，以便</w:t>
      </w:r>
      <w:r>
        <w:rPr>
          <w:rFonts w:hint="eastAsia" w:ascii="宋体" w:hAnsi="宋体" w:cs="Arial"/>
          <w:bCs/>
          <w:sz w:val="24"/>
          <w:highlight w:val="none"/>
        </w:rPr>
        <w:t>业主</w:t>
      </w:r>
      <w:r>
        <w:rPr>
          <w:rFonts w:ascii="宋体" w:hAnsi="宋体" w:cs="Arial"/>
          <w:bCs/>
          <w:sz w:val="24"/>
          <w:highlight w:val="none"/>
        </w:rPr>
        <w:t>采购、定制、收货、验收之需。</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3.1.4</w:t>
      </w:r>
      <w:r>
        <w:rPr>
          <w:rFonts w:ascii="宋体" w:hAnsi="宋体" w:cs="Arial"/>
          <w:bCs/>
          <w:sz w:val="24"/>
          <w:highlight w:val="none"/>
        </w:rPr>
        <w:t>对每个设备所需的水</w:t>
      </w:r>
      <w:r>
        <w:rPr>
          <w:rFonts w:hint="eastAsia" w:ascii="宋体" w:hAnsi="宋体" w:cs="Arial"/>
          <w:bCs/>
          <w:sz w:val="24"/>
          <w:highlight w:val="none"/>
        </w:rPr>
        <w:t>、</w:t>
      </w:r>
      <w:r>
        <w:rPr>
          <w:rFonts w:ascii="宋体" w:hAnsi="宋体" w:cs="Arial"/>
          <w:bCs/>
          <w:sz w:val="24"/>
          <w:highlight w:val="none"/>
        </w:rPr>
        <w:t>风</w:t>
      </w:r>
      <w:r>
        <w:rPr>
          <w:rFonts w:hint="eastAsia" w:ascii="宋体" w:hAnsi="宋体" w:cs="Arial"/>
          <w:bCs/>
          <w:sz w:val="24"/>
          <w:highlight w:val="none"/>
        </w:rPr>
        <w:t>、</w:t>
      </w:r>
      <w:r>
        <w:rPr>
          <w:rFonts w:ascii="宋体" w:hAnsi="宋体" w:cs="Arial"/>
          <w:bCs/>
          <w:sz w:val="24"/>
          <w:highlight w:val="none"/>
        </w:rPr>
        <w:t>电</w:t>
      </w:r>
      <w:r>
        <w:rPr>
          <w:rFonts w:hint="eastAsia" w:ascii="宋体" w:hAnsi="宋体" w:cs="Arial"/>
          <w:bCs/>
          <w:sz w:val="24"/>
          <w:highlight w:val="none"/>
        </w:rPr>
        <w:t>、</w:t>
      </w:r>
      <w:r>
        <w:rPr>
          <w:rFonts w:ascii="宋体" w:hAnsi="宋体" w:cs="Arial"/>
          <w:bCs/>
          <w:sz w:val="24"/>
          <w:highlight w:val="none"/>
        </w:rPr>
        <w:t>燃的需求，需提供技术数据清单。</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3.2</w:t>
      </w:r>
      <w:r>
        <w:rPr>
          <w:rFonts w:ascii="宋体" w:hAnsi="宋体" w:cs="Arial"/>
          <w:bCs/>
          <w:sz w:val="24"/>
          <w:highlight w:val="none"/>
        </w:rPr>
        <w:t>向</w:t>
      </w:r>
      <w:r>
        <w:rPr>
          <w:rFonts w:hint="eastAsia" w:ascii="宋体" w:hAnsi="宋体" w:cs="Arial"/>
          <w:bCs/>
          <w:sz w:val="24"/>
          <w:highlight w:val="none"/>
        </w:rPr>
        <w:t>业主</w:t>
      </w:r>
      <w:r>
        <w:rPr>
          <w:rFonts w:ascii="宋体" w:hAnsi="宋体" w:cs="Arial"/>
          <w:bCs/>
          <w:sz w:val="24"/>
          <w:highlight w:val="none"/>
        </w:rPr>
        <w:t>汇报厨房设备的性能和品牌。同时，向</w:t>
      </w:r>
      <w:r>
        <w:rPr>
          <w:rFonts w:hint="eastAsia" w:ascii="宋体" w:hAnsi="宋体" w:cs="Arial"/>
          <w:bCs/>
          <w:sz w:val="24"/>
          <w:highlight w:val="none"/>
        </w:rPr>
        <w:t>业主</w:t>
      </w:r>
      <w:r>
        <w:rPr>
          <w:rFonts w:ascii="宋体" w:hAnsi="宋体" w:cs="Arial"/>
          <w:bCs/>
          <w:sz w:val="24"/>
          <w:highlight w:val="none"/>
        </w:rPr>
        <w:t>汇报目前</w:t>
      </w:r>
      <w:r>
        <w:rPr>
          <w:rFonts w:hint="eastAsia" w:ascii="宋体" w:hAnsi="宋体" w:cs="Arial"/>
          <w:bCs/>
          <w:sz w:val="24"/>
          <w:highlight w:val="none"/>
        </w:rPr>
        <w:t>国内</w:t>
      </w:r>
      <w:r>
        <w:rPr>
          <w:rFonts w:ascii="宋体" w:hAnsi="宋体" w:cs="Arial"/>
          <w:bCs/>
          <w:sz w:val="24"/>
          <w:highlight w:val="none"/>
        </w:rPr>
        <w:t>总部办公厨房设备的常用品牌，及各种品牌设备性能上的优缺点。应</w:t>
      </w:r>
      <w:r>
        <w:rPr>
          <w:rFonts w:hint="eastAsia" w:ascii="宋体" w:hAnsi="宋体" w:cs="Arial"/>
          <w:bCs/>
          <w:sz w:val="24"/>
          <w:highlight w:val="none"/>
        </w:rPr>
        <w:t>业主</w:t>
      </w:r>
      <w:r>
        <w:rPr>
          <w:rFonts w:ascii="宋体" w:hAnsi="宋体" w:cs="Arial"/>
          <w:bCs/>
          <w:sz w:val="24"/>
          <w:highlight w:val="none"/>
        </w:rPr>
        <w:t>的邀请陪同</w:t>
      </w:r>
      <w:r>
        <w:rPr>
          <w:rFonts w:hint="eastAsia" w:ascii="宋体" w:hAnsi="宋体" w:cs="Arial"/>
          <w:bCs/>
          <w:sz w:val="24"/>
          <w:highlight w:val="none"/>
        </w:rPr>
        <w:t>业主</w:t>
      </w:r>
      <w:r>
        <w:rPr>
          <w:rFonts w:ascii="宋体" w:hAnsi="宋体" w:cs="Arial"/>
          <w:bCs/>
          <w:sz w:val="24"/>
          <w:highlight w:val="none"/>
        </w:rPr>
        <w:t>考察主要设备在国内生产的工厂及在酒店中使用情况</w:t>
      </w:r>
      <w:r>
        <w:rPr>
          <w:rFonts w:hint="eastAsia" w:ascii="宋体" w:hAnsi="宋体" w:cs="Arial"/>
          <w:bCs/>
          <w:sz w:val="24"/>
          <w:highlight w:val="none"/>
        </w:rPr>
        <w:t>。</w:t>
      </w:r>
    </w:p>
    <w:p>
      <w:pPr>
        <w:spacing w:line="400" w:lineRule="exact"/>
        <w:ind w:firstLine="480" w:firstLineChars="200"/>
        <w:rPr>
          <w:rFonts w:ascii="宋体" w:hAnsi="宋体" w:cs="Arial"/>
          <w:bCs/>
          <w:sz w:val="24"/>
          <w:highlight w:val="none"/>
          <w:u w:val="single"/>
        </w:rPr>
      </w:pPr>
      <w:r>
        <w:rPr>
          <w:rFonts w:hint="eastAsia" w:ascii="宋体" w:hAnsi="宋体" w:cs="Arial"/>
          <w:bCs/>
          <w:sz w:val="24"/>
          <w:highlight w:val="none"/>
        </w:rPr>
        <w:t>3.3提供一份合资格供货商名单及有关数据，</w:t>
      </w:r>
      <w:r>
        <w:rPr>
          <w:rFonts w:hint="eastAsia" w:ascii="宋体" w:hAnsi="宋体" w:cs="Arial"/>
          <w:bCs/>
          <w:sz w:val="24"/>
          <w:highlight w:val="none"/>
          <w:lang w:val="en-US" w:eastAsia="zh-CN"/>
        </w:rPr>
        <w:t>如业主采取邀请招标可</w:t>
      </w:r>
      <w:r>
        <w:rPr>
          <w:rFonts w:hint="eastAsia" w:ascii="宋体" w:hAnsi="宋体" w:cs="Arial"/>
          <w:bCs/>
          <w:sz w:val="24"/>
          <w:highlight w:val="none"/>
        </w:rPr>
        <w:t>供业主邀请合格供货商进行</w:t>
      </w:r>
      <w:r>
        <w:rPr>
          <w:rFonts w:hint="eastAsia" w:ascii="宋体" w:hAnsi="宋体" w:cs="Arial"/>
          <w:bCs/>
          <w:sz w:val="24"/>
          <w:highlight w:val="none"/>
          <w:u w:val="single"/>
        </w:rPr>
        <w:t>竞投。</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3.4招标文件应包括以下内容</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①设备清单（每种设备不少于3个品牌）</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②机电设备用量表（包括水、电、燃气、蒸汽、排风量、冷菜间空调容量）</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③烟罩除油系统机电参数（包括灭火系统）</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④排油烟净化系统机电参数，（此项由机电暖通单位负责）</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⑤产品规格</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⑥工作范围</w:t>
      </w:r>
    </w:p>
    <w:p>
      <w:pPr>
        <w:spacing w:line="400" w:lineRule="exact"/>
        <w:ind w:firstLine="482" w:firstLineChars="200"/>
        <w:rPr>
          <w:rFonts w:ascii="宋体" w:hAnsi="宋体" w:cs="Arial"/>
          <w:b/>
          <w:bCs/>
          <w:sz w:val="24"/>
          <w:highlight w:val="none"/>
        </w:rPr>
      </w:pPr>
      <w:r>
        <w:rPr>
          <w:rFonts w:hint="eastAsia" w:ascii="宋体" w:hAnsi="宋体" w:cs="Arial"/>
          <w:b/>
          <w:bCs/>
          <w:sz w:val="24"/>
          <w:highlight w:val="none"/>
        </w:rPr>
        <w:t>4</w:t>
      </w:r>
      <w:r>
        <w:rPr>
          <w:rFonts w:ascii="宋体" w:hAnsi="宋体" w:cs="Arial"/>
          <w:b/>
          <w:bCs/>
          <w:sz w:val="24"/>
          <w:highlight w:val="none"/>
        </w:rPr>
        <w:t>.</w:t>
      </w:r>
      <w:r>
        <w:rPr>
          <w:rFonts w:hint="eastAsia" w:ascii="宋体" w:hAnsi="宋体" w:cs="Arial"/>
          <w:b/>
          <w:bCs/>
          <w:sz w:val="24"/>
          <w:highlight w:val="none"/>
        </w:rPr>
        <w:t>招标及评标阶段</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评审各投标单位的投标文件。</w:t>
      </w:r>
    </w:p>
    <w:p>
      <w:pPr>
        <w:spacing w:line="400" w:lineRule="exact"/>
        <w:ind w:firstLine="480" w:firstLineChars="200"/>
        <w:rPr>
          <w:rFonts w:ascii="宋体" w:hAnsi="宋体" w:cs="Arial"/>
          <w:bCs/>
          <w:sz w:val="24"/>
          <w:highlight w:val="none"/>
        </w:rPr>
      </w:pPr>
      <w:r>
        <w:rPr>
          <w:rFonts w:ascii="宋体" w:hAnsi="宋体" w:cs="Arial"/>
          <w:bCs/>
          <w:sz w:val="24"/>
          <w:highlight w:val="none"/>
        </w:rPr>
        <w:t xml:space="preserve">4.1 </w:t>
      </w:r>
      <w:r>
        <w:rPr>
          <w:rFonts w:hint="eastAsia" w:ascii="宋体" w:hAnsi="宋体" w:cs="Arial"/>
          <w:bCs/>
          <w:sz w:val="24"/>
          <w:highlight w:val="none"/>
        </w:rPr>
        <w:t>招标</w:t>
      </w:r>
    </w:p>
    <w:p>
      <w:pPr>
        <w:spacing w:line="400" w:lineRule="exact"/>
        <w:ind w:firstLine="480" w:firstLineChars="200"/>
        <w:rPr>
          <w:rFonts w:ascii="宋体" w:hAnsi="宋体" w:cs="Arial"/>
          <w:bCs/>
          <w:sz w:val="24"/>
          <w:highlight w:val="none"/>
        </w:rPr>
      </w:pPr>
      <w:r>
        <w:rPr>
          <w:rFonts w:ascii="宋体" w:hAnsi="宋体" w:cs="Arial"/>
          <w:bCs/>
          <w:sz w:val="24"/>
          <w:highlight w:val="none"/>
        </w:rPr>
        <w:t>4.1</w:t>
      </w:r>
      <w:r>
        <w:rPr>
          <w:rFonts w:hint="eastAsia" w:ascii="宋体" w:hAnsi="宋体" w:cs="Arial"/>
          <w:bCs/>
          <w:sz w:val="24"/>
          <w:highlight w:val="none"/>
        </w:rPr>
        <w:t>.1补充文件</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根据需求，顾问单位将在承包商投标阶段中提出补充文件，包括但不限于补充图纸或说明。</w:t>
      </w:r>
    </w:p>
    <w:p>
      <w:pPr>
        <w:spacing w:line="400" w:lineRule="exact"/>
        <w:ind w:firstLine="480" w:firstLineChars="200"/>
        <w:rPr>
          <w:rFonts w:ascii="宋体" w:hAnsi="宋体" w:cs="Arial"/>
          <w:bCs/>
          <w:sz w:val="24"/>
          <w:highlight w:val="none"/>
        </w:rPr>
      </w:pPr>
      <w:r>
        <w:rPr>
          <w:rFonts w:ascii="宋体" w:hAnsi="宋体" w:cs="Arial"/>
          <w:bCs/>
          <w:sz w:val="24"/>
          <w:highlight w:val="none"/>
        </w:rPr>
        <w:t>4.</w:t>
      </w:r>
      <w:r>
        <w:rPr>
          <w:rFonts w:hint="eastAsia" w:ascii="宋体" w:hAnsi="宋体" w:cs="Arial"/>
          <w:bCs/>
          <w:sz w:val="24"/>
          <w:highlight w:val="none"/>
        </w:rPr>
        <w:t>2评标</w:t>
      </w:r>
    </w:p>
    <w:p>
      <w:pPr>
        <w:spacing w:line="400" w:lineRule="exact"/>
        <w:ind w:firstLine="480" w:firstLineChars="200"/>
        <w:rPr>
          <w:rFonts w:ascii="宋体" w:hAnsi="宋体" w:cs="Arial"/>
          <w:bCs/>
          <w:sz w:val="24"/>
          <w:highlight w:val="none"/>
        </w:rPr>
      </w:pPr>
      <w:r>
        <w:rPr>
          <w:rFonts w:ascii="宋体" w:hAnsi="宋体" w:cs="Arial"/>
          <w:bCs/>
          <w:sz w:val="24"/>
          <w:highlight w:val="none"/>
        </w:rPr>
        <w:t>4.</w:t>
      </w:r>
      <w:r>
        <w:rPr>
          <w:rFonts w:hint="eastAsia" w:ascii="宋体" w:hAnsi="宋体" w:cs="Arial"/>
          <w:bCs/>
          <w:sz w:val="24"/>
          <w:highlight w:val="none"/>
        </w:rPr>
        <w:t>2</w:t>
      </w:r>
      <w:r>
        <w:rPr>
          <w:rFonts w:ascii="宋体" w:hAnsi="宋体" w:cs="Arial"/>
          <w:bCs/>
          <w:sz w:val="24"/>
          <w:highlight w:val="none"/>
        </w:rPr>
        <w:t>.1参加</w:t>
      </w:r>
      <w:r>
        <w:rPr>
          <w:rFonts w:hint="eastAsia" w:ascii="宋体" w:hAnsi="宋体" w:cs="Arial"/>
          <w:bCs/>
          <w:sz w:val="24"/>
          <w:highlight w:val="none"/>
        </w:rPr>
        <w:t>业主组织</w:t>
      </w:r>
      <w:r>
        <w:rPr>
          <w:rFonts w:ascii="宋体" w:hAnsi="宋体" w:cs="Arial"/>
          <w:bCs/>
          <w:sz w:val="24"/>
          <w:highlight w:val="none"/>
        </w:rPr>
        <w:t>的招标工作小组的工作，审核投标公司全部回标文件的合理性及准确性，为</w:t>
      </w:r>
      <w:r>
        <w:rPr>
          <w:rFonts w:hint="eastAsia" w:ascii="宋体" w:hAnsi="宋体" w:cs="Arial"/>
          <w:bCs/>
          <w:sz w:val="24"/>
          <w:highlight w:val="none"/>
        </w:rPr>
        <w:t>业主</w:t>
      </w:r>
      <w:r>
        <w:rPr>
          <w:rFonts w:ascii="宋体" w:hAnsi="宋体" w:cs="Arial"/>
          <w:bCs/>
          <w:sz w:val="24"/>
          <w:highlight w:val="none"/>
        </w:rPr>
        <w:t>的评标工作提供专业性意见</w:t>
      </w:r>
      <w:r>
        <w:rPr>
          <w:rFonts w:hint="eastAsia" w:ascii="宋体" w:hAnsi="宋体" w:cs="Arial"/>
          <w:bCs/>
          <w:sz w:val="24"/>
          <w:highlight w:val="none"/>
        </w:rPr>
        <w:t>，并向业主提交评审报告。对有疑问的设备</w:t>
      </w:r>
      <w:r>
        <w:rPr>
          <w:rFonts w:ascii="宋体" w:hAnsi="宋体" w:cs="Arial"/>
          <w:bCs/>
          <w:sz w:val="24"/>
          <w:highlight w:val="none"/>
        </w:rPr>
        <w:t xml:space="preserve">, </w:t>
      </w:r>
      <w:r>
        <w:rPr>
          <w:rFonts w:hint="eastAsia" w:ascii="宋体" w:hAnsi="宋体" w:cs="Arial"/>
          <w:bCs/>
          <w:sz w:val="24"/>
          <w:highlight w:val="none"/>
        </w:rPr>
        <w:t>要求有关投标者进行修改以供评审。对投标者提交的可替换设备做出接受或拒绝的建议。</w:t>
      </w:r>
    </w:p>
    <w:p>
      <w:pPr>
        <w:spacing w:line="400" w:lineRule="exact"/>
        <w:ind w:firstLine="480" w:firstLineChars="200"/>
        <w:rPr>
          <w:rFonts w:ascii="宋体" w:hAnsi="宋体" w:cs="Arial"/>
          <w:bCs/>
          <w:sz w:val="24"/>
          <w:highlight w:val="none"/>
        </w:rPr>
      </w:pPr>
      <w:r>
        <w:rPr>
          <w:rFonts w:ascii="宋体" w:hAnsi="宋体" w:cs="Arial"/>
          <w:bCs/>
          <w:sz w:val="24"/>
          <w:highlight w:val="none"/>
        </w:rPr>
        <w:t>4.</w:t>
      </w:r>
      <w:r>
        <w:rPr>
          <w:rFonts w:hint="eastAsia" w:ascii="宋体" w:hAnsi="宋体" w:cs="Arial"/>
          <w:bCs/>
          <w:sz w:val="24"/>
          <w:highlight w:val="none"/>
        </w:rPr>
        <w:t>2</w:t>
      </w:r>
      <w:r>
        <w:rPr>
          <w:rFonts w:ascii="宋体" w:hAnsi="宋体" w:cs="Arial"/>
          <w:bCs/>
          <w:sz w:val="24"/>
          <w:highlight w:val="none"/>
        </w:rPr>
        <w:t>.2</w:t>
      </w:r>
      <w:r>
        <w:rPr>
          <w:rFonts w:hint="eastAsia" w:ascii="宋体" w:hAnsi="宋体" w:cs="Arial"/>
          <w:bCs/>
          <w:sz w:val="24"/>
          <w:highlight w:val="none"/>
        </w:rPr>
        <w:t>顾问单位需对投标成功者提交的所有技术和图纸进行整理，并将其呈交业主归档。</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4</w:t>
      </w:r>
      <w:r>
        <w:rPr>
          <w:rFonts w:ascii="宋体" w:hAnsi="宋体" w:cs="Arial"/>
          <w:bCs/>
          <w:sz w:val="24"/>
          <w:highlight w:val="none"/>
        </w:rPr>
        <w:t>.</w:t>
      </w:r>
      <w:r>
        <w:rPr>
          <w:rFonts w:hint="eastAsia" w:ascii="宋体" w:hAnsi="宋体" w:cs="Arial"/>
          <w:bCs/>
          <w:sz w:val="24"/>
          <w:highlight w:val="none"/>
        </w:rPr>
        <w:t>2</w:t>
      </w:r>
      <w:r>
        <w:rPr>
          <w:rFonts w:ascii="宋体" w:hAnsi="宋体" w:cs="Arial"/>
          <w:bCs/>
          <w:sz w:val="24"/>
          <w:highlight w:val="none"/>
        </w:rPr>
        <w:t>.</w:t>
      </w:r>
      <w:r>
        <w:rPr>
          <w:rFonts w:hint="eastAsia" w:ascii="宋体" w:hAnsi="宋体" w:cs="Arial"/>
          <w:bCs/>
          <w:sz w:val="24"/>
          <w:highlight w:val="none"/>
        </w:rPr>
        <w:t>3若有需要，顾问单位需出席由业主安排的评标会，以处理相关澄清，并审查投标方的报价书和项目的组织结构。</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4</w:t>
      </w:r>
      <w:r>
        <w:rPr>
          <w:rFonts w:ascii="宋体" w:hAnsi="宋体" w:cs="Arial"/>
          <w:bCs/>
          <w:sz w:val="24"/>
          <w:highlight w:val="none"/>
        </w:rPr>
        <w:t>.</w:t>
      </w:r>
      <w:r>
        <w:rPr>
          <w:rFonts w:hint="eastAsia" w:ascii="宋体" w:hAnsi="宋体" w:cs="Arial"/>
          <w:bCs/>
          <w:sz w:val="24"/>
          <w:highlight w:val="none"/>
        </w:rPr>
        <w:t>2</w:t>
      </w:r>
      <w:r>
        <w:rPr>
          <w:rFonts w:ascii="宋体" w:hAnsi="宋体" w:cs="Arial"/>
          <w:bCs/>
          <w:sz w:val="24"/>
          <w:highlight w:val="none"/>
        </w:rPr>
        <w:t>.</w:t>
      </w:r>
      <w:r>
        <w:rPr>
          <w:rFonts w:hint="eastAsia" w:ascii="宋体" w:hAnsi="宋体" w:cs="Arial"/>
          <w:bCs/>
          <w:sz w:val="24"/>
          <w:highlight w:val="none"/>
        </w:rPr>
        <w:t>4审核中标单位送审文件和深化图纸</w:t>
      </w:r>
    </w:p>
    <w:p>
      <w:pPr>
        <w:spacing w:line="400" w:lineRule="exact"/>
        <w:ind w:firstLine="482" w:firstLineChars="200"/>
        <w:rPr>
          <w:rFonts w:ascii="宋体" w:hAnsi="宋体" w:cs="Arial"/>
          <w:b/>
          <w:bCs/>
          <w:sz w:val="24"/>
          <w:highlight w:val="none"/>
        </w:rPr>
      </w:pPr>
      <w:r>
        <w:rPr>
          <w:rFonts w:hint="eastAsia" w:ascii="宋体" w:hAnsi="宋体" w:cs="Arial"/>
          <w:b/>
          <w:bCs/>
          <w:sz w:val="24"/>
          <w:highlight w:val="none"/>
        </w:rPr>
        <w:t>5</w:t>
      </w:r>
      <w:r>
        <w:rPr>
          <w:rFonts w:ascii="宋体" w:hAnsi="宋体" w:cs="Arial"/>
          <w:b/>
          <w:bCs/>
          <w:sz w:val="24"/>
          <w:highlight w:val="none"/>
        </w:rPr>
        <w:t>.</w:t>
      </w:r>
      <w:r>
        <w:rPr>
          <w:rFonts w:hint="eastAsia" w:ascii="宋体" w:hAnsi="宋体" w:cs="Arial"/>
          <w:b/>
          <w:bCs/>
          <w:sz w:val="24"/>
          <w:highlight w:val="none"/>
        </w:rPr>
        <w:t>施工管理阶段</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5</w:t>
      </w:r>
      <w:r>
        <w:rPr>
          <w:rFonts w:ascii="宋体" w:hAnsi="宋体" w:cs="Arial"/>
          <w:bCs/>
          <w:sz w:val="24"/>
          <w:highlight w:val="none"/>
        </w:rPr>
        <w:t>.</w:t>
      </w:r>
      <w:r>
        <w:rPr>
          <w:rFonts w:hint="eastAsia" w:ascii="宋体" w:hAnsi="宋体" w:cs="Arial"/>
          <w:bCs/>
          <w:sz w:val="24"/>
          <w:highlight w:val="none"/>
        </w:rPr>
        <w:t>1</w:t>
      </w:r>
      <w:r>
        <w:rPr>
          <w:rFonts w:ascii="宋体" w:hAnsi="宋体" w:cs="Arial"/>
          <w:bCs/>
          <w:sz w:val="24"/>
          <w:highlight w:val="none"/>
        </w:rPr>
        <w:t>招标工作结束后，</w:t>
      </w:r>
      <w:r>
        <w:rPr>
          <w:rFonts w:hint="eastAsia" w:ascii="宋体" w:hAnsi="宋体" w:cs="Arial"/>
          <w:bCs/>
          <w:sz w:val="24"/>
          <w:highlight w:val="none"/>
        </w:rPr>
        <w:t>顾问单位</w:t>
      </w:r>
      <w:r>
        <w:rPr>
          <w:rFonts w:ascii="宋体" w:hAnsi="宋体" w:cs="Arial"/>
          <w:bCs/>
          <w:sz w:val="24"/>
          <w:highlight w:val="none"/>
        </w:rPr>
        <w:t>代</w:t>
      </w:r>
      <w:r>
        <w:rPr>
          <w:rFonts w:hint="eastAsia" w:ascii="宋体" w:hAnsi="宋体" w:cs="Arial"/>
          <w:bCs/>
          <w:sz w:val="24"/>
          <w:highlight w:val="none"/>
        </w:rPr>
        <w:t>业主</w:t>
      </w:r>
      <w:r>
        <w:rPr>
          <w:rFonts w:ascii="宋体" w:hAnsi="宋体" w:cs="Arial"/>
          <w:bCs/>
          <w:sz w:val="24"/>
          <w:highlight w:val="none"/>
        </w:rPr>
        <w:t>就工程技术问题向中标的承包商进行技术交底</w:t>
      </w:r>
      <w:r>
        <w:rPr>
          <w:rFonts w:hint="eastAsia" w:ascii="宋体" w:hAnsi="宋体" w:cs="Arial"/>
          <w:bCs/>
          <w:sz w:val="24"/>
          <w:highlight w:val="none"/>
        </w:rPr>
        <w:t>。</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5</w:t>
      </w:r>
      <w:r>
        <w:rPr>
          <w:rFonts w:ascii="宋体" w:hAnsi="宋体" w:cs="Arial"/>
          <w:bCs/>
          <w:sz w:val="24"/>
          <w:highlight w:val="none"/>
        </w:rPr>
        <w:t>.</w:t>
      </w:r>
      <w:r>
        <w:rPr>
          <w:rFonts w:hint="eastAsia" w:ascii="宋体" w:hAnsi="宋体" w:cs="Arial"/>
          <w:bCs/>
          <w:sz w:val="24"/>
          <w:highlight w:val="none"/>
        </w:rPr>
        <w:t>2协助业主监管厨具设备厂家生产的设备。</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5.</w:t>
      </w:r>
      <w:r>
        <w:rPr>
          <w:rFonts w:ascii="宋体" w:hAnsi="宋体" w:cs="Arial"/>
          <w:bCs/>
          <w:sz w:val="24"/>
          <w:highlight w:val="none"/>
        </w:rPr>
        <w:t>1.1</w:t>
      </w:r>
      <w:r>
        <w:rPr>
          <w:rFonts w:hint="eastAsia" w:ascii="宋体" w:hAnsi="宋体" w:cs="Arial"/>
          <w:bCs/>
          <w:sz w:val="24"/>
          <w:highlight w:val="none"/>
        </w:rPr>
        <w:t>为业主监察及审批有关厨具进口设备及相关图纸。</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5.</w:t>
      </w:r>
      <w:r>
        <w:rPr>
          <w:rFonts w:ascii="宋体" w:hAnsi="宋体" w:cs="Arial"/>
          <w:bCs/>
          <w:sz w:val="24"/>
          <w:highlight w:val="none"/>
        </w:rPr>
        <w:t>1.2</w:t>
      </w:r>
      <w:r>
        <w:rPr>
          <w:rFonts w:hint="eastAsia" w:ascii="宋体" w:hAnsi="宋体" w:cs="Arial"/>
          <w:bCs/>
          <w:sz w:val="24"/>
          <w:highlight w:val="none"/>
        </w:rPr>
        <w:t>顾问单位应审查和批准承包商所提交的所有深化图、机电点位图、设备制作图、产品资料和其他有关文件，并将该批已核的图纸，提交给机电顾问和设计师协调及深化。</w:t>
      </w:r>
      <w:r>
        <w:rPr>
          <w:rFonts w:ascii="宋体" w:hAnsi="宋体" w:cs="Arial"/>
          <w:bCs/>
          <w:sz w:val="24"/>
          <w:highlight w:val="none"/>
        </w:rPr>
        <w:t>结合工程合同中变更及现场的变动，承包商需要进行二次设计，</w:t>
      </w:r>
      <w:r>
        <w:rPr>
          <w:rFonts w:hint="eastAsia" w:ascii="宋体" w:hAnsi="宋体" w:cs="Arial"/>
          <w:bCs/>
          <w:sz w:val="24"/>
          <w:highlight w:val="none"/>
        </w:rPr>
        <w:t>顾问单位需</w:t>
      </w:r>
      <w:r>
        <w:rPr>
          <w:rFonts w:ascii="宋体" w:hAnsi="宋体" w:cs="Arial"/>
          <w:bCs/>
          <w:sz w:val="24"/>
          <w:highlight w:val="none"/>
        </w:rPr>
        <w:t>对承包商的二次设计</w:t>
      </w:r>
      <w:r>
        <w:rPr>
          <w:rFonts w:hint="eastAsia" w:ascii="宋体" w:hAnsi="宋体" w:cs="Arial"/>
          <w:bCs/>
          <w:sz w:val="24"/>
          <w:highlight w:val="none"/>
        </w:rPr>
        <w:t>进行</w:t>
      </w:r>
      <w:r>
        <w:rPr>
          <w:rFonts w:ascii="宋体" w:hAnsi="宋体" w:cs="Arial"/>
          <w:bCs/>
          <w:sz w:val="24"/>
          <w:highlight w:val="none"/>
        </w:rPr>
        <w:t>审</w:t>
      </w:r>
      <w:r>
        <w:rPr>
          <w:rFonts w:hint="eastAsia" w:ascii="宋体" w:hAnsi="宋体" w:cs="Arial"/>
          <w:bCs/>
          <w:sz w:val="24"/>
          <w:highlight w:val="none"/>
        </w:rPr>
        <w:t>核。</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5</w:t>
      </w:r>
      <w:r>
        <w:rPr>
          <w:rFonts w:ascii="宋体" w:hAnsi="宋体" w:cs="Arial"/>
          <w:bCs/>
          <w:sz w:val="24"/>
          <w:highlight w:val="none"/>
        </w:rPr>
        <w:t>.</w:t>
      </w:r>
      <w:r>
        <w:rPr>
          <w:rFonts w:hint="eastAsia" w:ascii="宋体" w:hAnsi="宋体" w:cs="Arial"/>
          <w:bCs/>
          <w:sz w:val="24"/>
          <w:highlight w:val="none"/>
        </w:rPr>
        <w:t>1</w:t>
      </w:r>
      <w:r>
        <w:rPr>
          <w:rFonts w:ascii="宋体" w:hAnsi="宋体" w:cs="Arial"/>
          <w:bCs/>
          <w:sz w:val="24"/>
          <w:highlight w:val="none"/>
        </w:rPr>
        <w:t>.</w:t>
      </w:r>
      <w:r>
        <w:rPr>
          <w:rFonts w:hint="eastAsia" w:ascii="宋体" w:hAnsi="宋体" w:cs="Arial"/>
          <w:bCs/>
          <w:sz w:val="24"/>
          <w:highlight w:val="none"/>
        </w:rPr>
        <w:t>3施工疑问处理</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顾问单位需审查并回复承包商现场施工问题。</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5</w:t>
      </w:r>
      <w:r>
        <w:rPr>
          <w:rFonts w:ascii="宋体" w:hAnsi="宋体" w:cs="Arial"/>
          <w:bCs/>
          <w:sz w:val="24"/>
          <w:highlight w:val="none"/>
        </w:rPr>
        <w:t>.</w:t>
      </w:r>
      <w:r>
        <w:rPr>
          <w:rFonts w:hint="eastAsia" w:ascii="宋体" w:hAnsi="宋体" w:cs="Arial"/>
          <w:bCs/>
          <w:sz w:val="24"/>
          <w:highlight w:val="none"/>
        </w:rPr>
        <w:t>1</w:t>
      </w:r>
      <w:r>
        <w:rPr>
          <w:rFonts w:ascii="宋体" w:hAnsi="宋体" w:cs="Arial"/>
          <w:bCs/>
          <w:sz w:val="24"/>
          <w:highlight w:val="none"/>
        </w:rPr>
        <w:t>.</w:t>
      </w:r>
      <w:r>
        <w:rPr>
          <w:rFonts w:hint="eastAsia" w:ascii="宋体" w:hAnsi="宋体" w:cs="Arial"/>
          <w:bCs/>
          <w:sz w:val="24"/>
          <w:highlight w:val="none"/>
        </w:rPr>
        <w:t>4顾问单位</w:t>
      </w:r>
      <w:r>
        <w:rPr>
          <w:rFonts w:ascii="宋体" w:hAnsi="宋体" w:cs="Arial"/>
          <w:bCs/>
          <w:sz w:val="24"/>
          <w:highlight w:val="none"/>
        </w:rPr>
        <w:t>对承包商在执行合同过程中提出对设备尺寸、规格、型号及品牌需更改的报告进行审核。</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5.</w:t>
      </w:r>
      <w:r>
        <w:rPr>
          <w:rFonts w:ascii="宋体" w:hAnsi="宋体" w:cs="Arial"/>
          <w:bCs/>
          <w:sz w:val="24"/>
          <w:highlight w:val="none"/>
        </w:rPr>
        <w:t xml:space="preserve">2. </w:t>
      </w:r>
      <w:r>
        <w:rPr>
          <w:rFonts w:hint="eastAsia" w:ascii="宋体" w:hAnsi="宋体" w:cs="Arial"/>
          <w:bCs/>
          <w:sz w:val="24"/>
          <w:highlight w:val="none"/>
        </w:rPr>
        <w:t>协助业主验收厨具设备。</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5.</w:t>
      </w:r>
      <w:r>
        <w:rPr>
          <w:rFonts w:ascii="宋体" w:hAnsi="宋体" w:cs="Arial"/>
          <w:bCs/>
          <w:sz w:val="24"/>
          <w:highlight w:val="none"/>
        </w:rPr>
        <w:t>2.1</w:t>
      </w:r>
      <w:r>
        <w:rPr>
          <w:rFonts w:hint="eastAsia" w:ascii="宋体" w:hAnsi="宋体" w:cs="Arial"/>
          <w:bCs/>
          <w:sz w:val="24"/>
          <w:highlight w:val="none"/>
        </w:rPr>
        <w:t>顾问单位应对承包商提供的厂制品进行检测。</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5.</w:t>
      </w:r>
      <w:r>
        <w:rPr>
          <w:rFonts w:ascii="宋体" w:hAnsi="宋体" w:cs="Arial"/>
          <w:bCs/>
          <w:sz w:val="24"/>
          <w:highlight w:val="none"/>
        </w:rPr>
        <w:t>2.</w:t>
      </w:r>
      <w:r>
        <w:rPr>
          <w:rFonts w:hint="eastAsia" w:ascii="宋体" w:hAnsi="宋体" w:cs="Arial"/>
          <w:bCs/>
          <w:sz w:val="24"/>
          <w:highlight w:val="none"/>
        </w:rPr>
        <w:t>2现场审查</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顾问单位应对进入工地的材料、设备安装过程进行现场视察，并提供视察报告</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5</w:t>
      </w:r>
      <w:r>
        <w:rPr>
          <w:rFonts w:ascii="宋体" w:hAnsi="宋体" w:cs="Arial"/>
          <w:bCs/>
          <w:sz w:val="24"/>
          <w:highlight w:val="none"/>
        </w:rPr>
        <w:t>.</w:t>
      </w:r>
      <w:r>
        <w:rPr>
          <w:rFonts w:hint="eastAsia" w:ascii="宋体" w:hAnsi="宋体" w:cs="Arial"/>
          <w:bCs/>
          <w:sz w:val="24"/>
          <w:highlight w:val="none"/>
        </w:rPr>
        <w:t>2</w:t>
      </w:r>
      <w:r>
        <w:rPr>
          <w:rFonts w:ascii="宋体" w:hAnsi="宋体" w:cs="Arial"/>
          <w:bCs/>
          <w:sz w:val="24"/>
          <w:highlight w:val="none"/>
        </w:rPr>
        <w:t>.</w:t>
      </w:r>
      <w:r>
        <w:rPr>
          <w:rFonts w:hint="eastAsia" w:ascii="宋体" w:hAnsi="宋体" w:cs="Arial"/>
          <w:bCs/>
          <w:sz w:val="24"/>
          <w:highlight w:val="none"/>
        </w:rPr>
        <w:t>3竣工验收</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顾问单位应在工作范围内对所有区域施工完成可以进驻后进行竣工验收。包括顾问单位施工文件下规定的所有设备的检验、以及相关建筑、机械、管道和电力机件的审查等，确定安装是否与顾问单位施工文件一致。对于不一致之处顾问单位应向承包商发出整改清单，督促承包商进行整改。待所有不一致之处都得到改正后，顾问单位应向业主单位与酒店管理公司提交正式竣工验收报告。</w:t>
      </w:r>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5.</w:t>
      </w:r>
      <w:r>
        <w:rPr>
          <w:rFonts w:ascii="宋体" w:hAnsi="宋体" w:cs="Arial"/>
          <w:bCs/>
          <w:sz w:val="24"/>
          <w:highlight w:val="none"/>
        </w:rPr>
        <w:t>2.</w:t>
      </w:r>
      <w:r>
        <w:rPr>
          <w:rFonts w:hint="eastAsia" w:ascii="宋体" w:hAnsi="宋体" w:cs="Arial"/>
          <w:bCs/>
          <w:sz w:val="24"/>
          <w:highlight w:val="none"/>
        </w:rPr>
        <w:t>4顾问单位审核厨房承包商所有竣工图、操作手册，以保证承建商日后能提供服务和支持。</w:t>
      </w:r>
    </w:p>
    <w:p>
      <w:pPr>
        <w:pStyle w:val="3"/>
        <w:rPr>
          <w:highlight w:val="none"/>
        </w:rPr>
      </w:pPr>
      <w:bookmarkStart w:id="13" w:name="_Toc65691536"/>
      <w:bookmarkStart w:id="14" w:name="_Toc65691496"/>
      <w:bookmarkStart w:id="15" w:name="_Toc65691581"/>
      <w:r>
        <w:rPr>
          <w:rFonts w:hint="eastAsia"/>
          <w:highlight w:val="none"/>
        </w:rPr>
        <w:t>五、各阶段提供图纸的要求</w:t>
      </w:r>
      <w:bookmarkEnd w:id="13"/>
      <w:bookmarkEnd w:id="14"/>
      <w:bookmarkEnd w:id="15"/>
    </w:p>
    <w:p>
      <w:pPr>
        <w:spacing w:line="400" w:lineRule="exact"/>
        <w:ind w:firstLine="480" w:firstLineChars="200"/>
        <w:rPr>
          <w:rFonts w:ascii="宋体" w:hAnsi="宋体" w:cs="Arial"/>
          <w:bCs/>
          <w:sz w:val="24"/>
          <w:highlight w:val="none"/>
        </w:rPr>
      </w:pPr>
      <w:r>
        <w:rPr>
          <w:rFonts w:hint="eastAsia" w:ascii="宋体" w:hAnsi="宋体" w:cs="Arial"/>
          <w:bCs/>
          <w:sz w:val="24"/>
          <w:highlight w:val="none"/>
        </w:rPr>
        <w:t>1、提供的图纸需要经设计院和业主单位审核；</w:t>
      </w:r>
    </w:p>
    <w:p>
      <w:pPr>
        <w:spacing w:line="400" w:lineRule="exact"/>
        <w:ind w:firstLine="480" w:firstLineChars="200"/>
        <w:rPr>
          <w:rFonts w:ascii="宋体" w:hAnsi="宋体" w:cs="Arial"/>
          <w:bCs/>
          <w:sz w:val="24"/>
          <w:highlight w:val="none"/>
        </w:rPr>
      </w:pPr>
      <w:r>
        <w:rPr>
          <w:rFonts w:ascii="宋体" w:hAnsi="宋体" w:cs="Arial"/>
          <w:bCs/>
          <w:sz w:val="24"/>
          <w:highlight w:val="none"/>
        </w:rPr>
        <w:t>2</w:t>
      </w:r>
      <w:r>
        <w:rPr>
          <w:rFonts w:hint="eastAsia" w:ascii="宋体" w:hAnsi="宋体" w:cs="Arial"/>
          <w:bCs/>
          <w:sz w:val="24"/>
          <w:highlight w:val="none"/>
        </w:rPr>
        <w:t>、提供PDF与AutoCAD电子版图，CAD图纸做到布局；</w:t>
      </w:r>
    </w:p>
    <w:p>
      <w:pPr>
        <w:spacing w:line="400" w:lineRule="exact"/>
        <w:ind w:firstLine="480" w:firstLineChars="200"/>
        <w:rPr>
          <w:rFonts w:ascii="宋体" w:hAnsi="宋体" w:cs="Arial"/>
          <w:bCs/>
          <w:sz w:val="24"/>
          <w:highlight w:val="none"/>
        </w:rPr>
      </w:pPr>
      <w:r>
        <w:rPr>
          <w:rFonts w:ascii="宋体" w:hAnsi="宋体" w:cs="Arial"/>
          <w:bCs/>
          <w:sz w:val="24"/>
          <w:highlight w:val="none"/>
        </w:rPr>
        <w:t>3</w:t>
      </w:r>
      <w:r>
        <w:rPr>
          <w:rFonts w:hint="eastAsia" w:ascii="宋体" w:hAnsi="宋体" w:cs="Arial"/>
          <w:bCs/>
          <w:sz w:val="24"/>
          <w:highlight w:val="none"/>
        </w:rPr>
        <w:t>、提供CAD电子版图，请使用AutoCAD原字体；</w:t>
      </w:r>
    </w:p>
    <w:p>
      <w:pPr>
        <w:spacing w:line="400" w:lineRule="exact"/>
        <w:ind w:firstLine="480" w:firstLineChars="200"/>
        <w:rPr>
          <w:rFonts w:ascii="宋体" w:hAnsi="宋体" w:cs="Arial"/>
          <w:bCs/>
          <w:sz w:val="24"/>
          <w:highlight w:val="none"/>
        </w:rPr>
      </w:pPr>
      <w:r>
        <w:rPr>
          <w:rFonts w:ascii="宋体" w:hAnsi="宋体" w:cs="Arial"/>
          <w:bCs/>
          <w:sz w:val="24"/>
          <w:highlight w:val="none"/>
        </w:rPr>
        <w:t>4</w:t>
      </w:r>
      <w:r>
        <w:rPr>
          <w:rFonts w:hint="eastAsia" w:ascii="宋体" w:hAnsi="宋体" w:cs="Arial"/>
          <w:bCs/>
          <w:sz w:val="24"/>
          <w:highlight w:val="none"/>
        </w:rPr>
        <w:t>、电子版图纸的命名必须是中文，不应为符号或代码；有相关的图例，设备有数量一栏；</w:t>
      </w:r>
    </w:p>
    <w:p>
      <w:pPr>
        <w:pStyle w:val="3"/>
        <w:rPr>
          <w:highlight w:val="none"/>
        </w:rPr>
      </w:pPr>
      <w:bookmarkStart w:id="16" w:name="_Toc65691537"/>
      <w:bookmarkStart w:id="17" w:name="_Toc65691497"/>
      <w:bookmarkStart w:id="18" w:name="_Toc65691582"/>
      <w:r>
        <w:rPr>
          <w:rFonts w:hint="eastAsia"/>
          <w:highlight w:val="none"/>
        </w:rPr>
        <w:t>六、参与会议及工地视察</w:t>
      </w:r>
      <w:bookmarkEnd w:id="16"/>
      <w:bookmarkEnd w:id="17"/>
      <w:bookmarkEnd w:id="18"/>
    </w:p>
    <w:p>
      <w:pPr>
        <w:spacing w:line="400" w:lineRule="exact"/>
        <w:ind w:firstLine="480" w:firstLineChars="200"/>
        <w:rPr>
          <w:rFonts w:ascii="宋体" w:hAnsi="宋体" w:cs="Arial"/>
          <w:bCs/>
          <w:sz w:val="24"/>
          <w:highlight w:val="none"/>
        </w:rPr>
      </w:pPr>
      <w:r>
        <w:rPr>
          <w:rFonts w:ascii="宋体" w:hAnsi="宋体" w:cs="Arial"/>
          <w:bCs/>
          <w:sz w:val="24"/>
          <w:highlight w:val="none"/>
        </w:rPr>
        <w:t xml:space="preserve">1. </w:t>
      </w:r>
      <w:r>
        <w:rPr>
          <w:rFonts w:hint="eastAsia" w:ascii="宋体" w:hAnsi="宋体" w:cs="Arial"/>
          <w:bCs/>
          <w:sz w:val="24"/>
          <w:highlight w:val="none"/>
        </w:rPr>
        <w:t>顾问费用包括到国内各地5次参与会议或工地勘察的费用</w:t>
      </w:r>
      <w:r>
        <w:rPr>
          <w:rFonts w:ascii="宋体" w:hAnsi="宋体" w:cs="Arial"/>
          <w:bCs/>
          <w:sz w:val="24"/>
          <w:highlight w:val="none"/>
        </w:rPr>
        <w:t xml:space="preserve">, </w:t>
      </w:r>
      <w:r>
        <w:rPr>
          <w:rFonts w:hint="eastAsia" w:ascii="宋体" w:hAnsi="宋体" w:cs="Arial"/>
          <w:bCs/>
          <w:sz w:val="24"/>
          <w:highlight w:val="none"/>
        </w:rPr>
        <w:t>每次出差人数按工程需要由双方商定。</w:t>
      </w:r>
    </w:p>
    <w:p>
      <w:pPr>
        <w:spacing w:line="400" w:lineRule="exact"/>
        <w:ind w:firstLine="480" w:firstLineChars="200"/>
        <w:rPr>
          <w:rFonts w:ascii="宋体" w:hAnsi="宋体" w:cs="Arial"/>
          <w:bCs/>
          <w:sz w:val="24"/>
          <w:highlight w:val="none"/>
        </w:rPr>
      </w:pPr>
      <w:r>
        <w:rPr>
          <w:rFonts w:ascii="宋体" w:hAnsi="宋体" w:cs="Arial"/>
          <w:bCs/>
          <w:sz w:val="24"/>
          <w:highlight w:val="none"/>
        </w:rPr>
        <w:t xml:space="preserve">2. </w:t>
      </w:r>
      <w:r>
        <w:rPr>
          <w:rFonts w:hint="eastAsia" w:ascii="宋体" w:hAnsi="宋体" w:cs="Arial"/>
          <w:bCs/>
          <w:sz w:val="24"/>
          <w:highlight w:val="none"/>
        </w:rPr>
        <w:t>如业主需要顾问单位增加前往国内的服务次数</w:t>
      </w:r>
      <w:r>
        <w:rPr>
          <w:rFonts w:ascii="宋体" w:hAnsi="宋体" w:cs="Arial"/>
          <w:bCs/>
          <w:sz w:val="24"/>
          <w:highlight w:val="none"/>
        </w:rPr>
        <w:t xml:space="preserve">, </w:t>
      </w:r>
      <w:r>
        <w:rPr>
          <w:rFonts w:hint="eastAsia" w:ascii="宋体" w:hAnsi="宋体" w:cs="Arial"/>
          <w:bCs/>
          <w:sz w:val="24"/>
          <w:highlight w:val="none"/>
        </w:rPr>
        <w:t>额外收费为人民币</w:t>
      </w:r>
      <w:r>
        <w:rPr>
          <w:rFonts w:ascii="宋体" w:hAnsi="宋体" w:cs="Arial"/>
          <w:bCs/>
          <w:sz w:val="24"/>
          <w:highlight w:val="none"/>
        </w:rPr>
        <w:t>/</w:t>
      </w:r>
      <w:r>
        <w:rPr>
          <w:rFonts w:hint="eastAsia" w:ascii="宋体" w:hAnsi="宋体" w:cs="Arial"/>
          <w:bCs/>
          <w:sz w:val="24"/>
          <w:highlight w:val="none"/>
        </w:rPr>
        <w:t>人次</w:t>
      </w:r>
      <w:r>
        <w:rPr>
          <w:rFonts w:ascii="宋体" w:hAnsi="宋体" w:cs="Arial"/>
          <w:bCs/>
          <w:sz w:val="24"/>
          <w:highlight w:val="none"/>
        </w:rPr>
        <w:t>/</w:t>
      </w:r>
      <w:r>
        <w:rPr>
          <w:rFonts w:hint="eastAsia" w:ascii="宋体" w:hAnsi="宋体" w:cs="Arial"/>
          <w:bCs/>
          <w:sz w:val="24"/>
          <w:highlight w:val="none"/>
        </w:rPr>
        <w:t>日，包括飞机票、住宿、餐饮等所有差旅费用和服务费。</w:t>
      </w:r>
    </w:p>
    <w:p>
      <w:pPr>
        <w:pStyle w:val="3"/>
        <w:rPr>
          <w:highlight w:val="none"/>
        </w:rPr>
      </w:pPr>
      <w:bookmarkStart w:id="19" w:name="_Toc65691583"/>
      <w:bookmarkStart w:id="20" w:name="_Toc65691498"/>
      <w:bookmarkStart w:id="21" w:name="_Toc65691538"/>
      <w:r>
        <w:rPr>
          <w:rFonts w:hint="eastAsia"/>
          <w:highlight w:val="none"/>
        </w:rPr>
        <w:t>七、设计成果</w:t>
      </w:r>
      <w:bookmarkEnd w:id="19"/>
      <w:bookmarkEnd w:id="20"/>
      <w:bookmarkEnd w:id="21"/>
    </w:p>
    <w:p>
      <w:pPr>
        <w:spacing w:line="400" w:lineRule="exact"/>
        <w:ind w:firstLine="480" w:firstLineChars="200"/>
        <w:rPr>
          <w:rFonts w:ascii="宋体" w:hAnsi="宋体" w:cs="Arial"/>
          <w:bCs/>
          <w:sz w:val="24"/>
          <w:highlight w:val="none"/>
        </w:rPr>
      </w:pPr>
      <w:r>
        <w:rPr>
          <w:rFonts w:ascii="宋体" w:hAnsi="宋体" w:cs="Arial"/>
          <w:bCs/>
          <w:sz w:val="24"/>
          <w:highlight w:val="none"/>
        </w:rPr>
        <w:t xml:space="preserve">1. </w:t>
      </w:r>
      <w:r>
        <w:rPr>
          <w:rFonts w:hint="eastAsia" w:ascii="宋体" w:hAnsi="宋体" w:cs="Arial"/>
          <w:bCs/>
          <w:sz w:val="24"/>
          <w:highlight w:val="none"/>
        </w:rPr>
        <w:t>顾问费包括顾问单位向业主提供各阶段设计图纸及说明书一式</w:t>
      </w:r>
      <w:r>
        <w:rPr>
          <w:rFonts w:ascii="宋体" w:hAnsi="宋体" w:cs="Arial"/>
          <w:bCs/>
          <w:sz w:val="24"/>
          <w:highlight w:val="none"/>
        </w:rPr>
        <w:t>8</w:t>
      </w:r>
      <w:r>
        <w:rPr>
          <w:rFonts w:hint="eastAsia" w:ascii="宋体" w:hAnsi="宋体" w:cs="Arial"/>
          <w:bCs/>
          <w:sz w:val="24"/>
          <w:highlight w:val="none"/>
        </w:rPr>
        <w:t>份的印刷费用</w:t>
      </w:r>
      <w:r>
        <w:rPr>
          <w:rFonts w:ascii="宋体" w:hAnsi="宋体" w:cs="Arial"/>
          <w:bCs/>
          <w:sz w:val="24"/>
          <w:highlight w:val="none"/>
        </w:rPr>
        <w:t xml:space="preserve">, </w:t>
      </w:r>
      <w:r>
        <w:rPr>
          <w:rFonts w:hint="eastAsia" w:ascii="宋体" w:hAnsi="宋体" w:cs="Arial"/>
          <w:bCs/>
          <w:sz w:val="24"/>
          <w:highlight w:val="none"/>
        </w:rPr>
        <w:t>及U盘数据一式</w:t>
      </w:r>
      <w:r>
        <w:rPr>
          <w:rFonts w:ascii="宋体" w:hAnsi="宋体" w:cs="Arial"/>
          <w:bCs/>
          <w:sz w:val="24"/>
          <w:highlight w:val="none"/>
        </w:rPr>
        <w:t>4</w:t>
      </w:r>
      <w:r>
        <w:rPr>
          <w:rFonts w:hint="eastAsia" w:ascii="宋体" w:hAnsi="宋体" w:cs="Arial"/>
          <w:bCs/>
          <w:sz w:val="24"/>
          <w:highlight w:val="none"/>
        </w:rPr>
        <w:t>份之费用。所提供各阶段电子版图纸应包括CAD图与PDF图。</w:t>
      </w:r>
    </w:p>
    <w:p>
      <w:pPr>
        <w:rPr>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zBkZGVjN2ZjYzdjYWMzNDI2ZjlmN2U5MmFiYWY1MjkifQ=="/>
  </w:docVars>
  <w:rsids>
    <w:rsidRoot w:val="00B76DAB"/>
    <w:rsid w:val="0007732B"/>
    <w:rsid w:val="00140C3B"/>
    <w:rsid w:val="0021532E"/>
    <w:rsid w:val="00215F5D"/>
    <w:rsid w:val="00320E3B"/>
    <w:rsid w:val="003B08B3"/>
    <w:rsid w:val="003B7186"/>
    <w:rsid w:val="004217D2"/>
    <w:rsid w:val="004A4B08"/>
    <w:rsid w:val="00611B9C"/>
    <w:rsid w:val="007349B2"/>
    <w:rsid w:val="00753A4B"/>
    <w:rsid w:val="007A073D"/>
    <w:rsid w:val="007D2E5E"/>
    <w:rsid w:val="00882FEB"/>
    <w:rsid w:val="00983DD8"/>
    <w:rsid w:val="00A4368F"/>
    <w:rsid w:val="00A60992"/>
    <w:rsid w:val="00A969D9"/>
    <w:rsid w:val="00AA5EBE"/>
    <w:rsid w:val="00AD2127"/>
    <w:rsid w:val="00AF4F75"/>
    <w:rsid w:val="00B76DAB"/>
    <w:rsid w:val="00BB59FF"/>
    <w:rsid w:val="00BE2E32"/>
    <w:rsid w:val="00BE73F3"/>
    <w:rsid w:val="00CD475E"/>
    <w:rsid w:val="00D51032"/>
    <w:rsid w:val="00DF3F6B"/>
    <w:rsid w:val="00F03D9C"/>
    <w:rsid w:val="0AB842BA"/>
    <w:rsid w:val="0C993FFD"/>
    <w:rsid w:val="11AA3443"/>
    <w:rsid w:val="1F136AA8"/>
    <w:rsid w:val="287A1946"/>
    <w:rsid w:val="2DE16FF1"/>
    <w:rsid w:val="2EC27BA3"/>
    <w:rsid w:val="365B3302"/>
    <w:rsid w:val="3729447F"/>
    <w:rsid w:val="3B2C2B0B"/>
    <w:rsid w:val="3F77220A"/>
    <w:rsid w:val="4A3D4856"/>
    <w:rsid w:val="65D85E53"/>
    <w:rsid w:val="76941967"/>
    <w:rsid w:val="7B4D5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3"/>
    <w:semiHidden/>
    <w:unhideWhenUsed/>
    <w:qFormat/>
    <w:uiPriority w:val="99"/>
    <w:rPr>
      <w:sz w:val="18"/>
      <w:szCs w:val="18"/>
    </w:rPr>
  </w:style>
  <w:style w:type="paragraph" w:styleId="5">
    <w:name w:val="footer"/>
    <w:basedOn w:val="1"/>
    <w:link w:val="16"/>
    <w:semiHidden/>
    <w:unhideWhenUsed/>
    <w:qFormat/>
    <w:uiPriority w:val="99"/>
    <w:pPr>
      <w:tabs>
        <w:tab w:val="center" w:pos="4153"/>
        <w:tab w:val="right" w:pos="8306"/>
      </w:tabs>
      <w:snapToGrid w:val="0"/>
      <w:jc w:val="left"/>
    </w:pPr>
    <w:rPr>
      <w:sz w:val="18"/>
      <w:szCs w:val="18"/>
    </w:rPr>
  </w:style>
  <w:style w:type="paragraph" w:styleId="6">
    <w:name w:val="header"/>
    <w:basedOn w:val="1"/>
    <w:link w:val="15"/>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39"/>
  </w:style>
  <w:style w:type="character" w:styleId="10">
    <w:name w:val="Hyperlink"/>
    <w:basedOn w:val="9"/>
    <w:unhideWhenUsed/>
    <w:qFormat/>
    <w:uiPriority w:val="99"/>
    <w:rPr>
      <w:color w:val="0000FF" w:themeColor="hyperlink"/>
      <w:u w:val="single"/>
    </w:rPr>
  </w:style>
  <w:style w:type="character" w:customStyle="1" w:styleId="11">
    <w:name w:val="标题 1 Char"/>
    <w:basedOn w:val="9"/>
    <w:link w:val="2"/>
    <w:qFormat/>
    <w:uiPriority w:val="0"/>
    <w:rPr>
      <w:b/>
      <w:bCs/>
      <w:kern w:val="44"/>
      <w:sz w:val="44"/>
      <w:szCs w:val="44"/>
    </w:rPr>
  </w:style>
  <w:style w:type="paragraph" w:customStyle="1" w:styleId="12">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66091" w:themeColor="accent1" w:themeShade="BF"/>
      <w:kern w:val="0"/>
      <w:sz w:val="32"/>
      <w:szCs w:val="32"/>
    </w:rPr>
  </w:style>
  <w:style w:type="character" w:customStyle="1" w:styleId="13">
    <w:name w:val="批注框文本 Char"/>
    <w:basedOn w:val="9"/>
    <w:link w:val="4"/>
    <w:semiHidden/>
    <w:qFormat/>
    <w:uiPriority w:val="99"/>
    <w:rPr>
      <w:sz w:val="18"/>
      <w:szCs w:val="18"/>
    </w:rPr>
  </w:style>
  <w:style w:type="character" w:customStyle="1" w:styleId="14">
    <w:name w:val="标题 2 Char"/>
    <w:basedOn w:val="9"/>
    <w:link w:val="3"/>
    <w:qFormat/>
    <w:uiPriority w:val="0"/>
    <w:rPr>
      <w:rFonts w:asciiTheme="majorHAnsi" w:hAnsiTheme="majorHAnsi" w:eastAsiaTheme="majorEastAsia" w:cstheme="majorBidi"/>
      <w:b/>
      <w:bCs/>
      <w:sz w:val="32"/>
      <w:szCs w:val="32"/>
    </w:rPr>
  </w:style>
  <w:style w:type="character" w:customStyle="1" w:styleId="15">
    <w:name w:val="页眉 Char"/>
    <w:basedOn w:val="9"/>
    <w:link w:val="6"/>
    <w:semiHidden/>
    <w:uiPriority w:val="99"/>
    <w:rPr>
      <w:sz w:val="18"/>
      <w:szCs w:val="18"/>
    </w:rPr>
  </w:style>
  <w:style w:type="character" w:customStyle="1" w:styleId="16">
    <w:name w:val="页脚 Char"/>
    <w:basedOn w:val="9"/>
    <w:link w:val="5"/>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91DA8A-E2C1-49F2-8C72-76B3159B9E7F}">
  <ds:schemaRefs/>
</ds:datastoreItem>
</file>

<file path=docProps/app.xml><?xml version="1.0" encoding="utf-8"?>
<Properties xmlns="http://schemas.openxmlformats.org/officeDocument/2006/extended-properties" xmlns:vt="http://schemas.openxmlformats.org/officeDocument/2006/docPropsVTypes">
  <Template>Normal</Template>
  <Pages>8</Pages>
  <Words>641</Words>
  <Characters>3657</Characters>
  <Lines>30</Lines>
  <Paragraphs>8</Paragraphs>
  <TotalTime>475</TotalTime>
  <ScaleCrop>false</ScaleCrop>
  <LinksUpToDate>false</LinksUpToDate>
  <CharactersWithSpaces>4290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2022-04-26T06:06:00Z</dcterms:created>
  <dc:creator>user</dc:creator>
  <cp:lastModifiedBy>stephen郁</cp:lastModifiedBy>
  <dcterms:modified xsi:type="dcterms:W3CDTF">2022-05-01T09:19:34Z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10C4849566214AE4BB248A1EC5B3FE58</vt:lpwstr>
  </property>
</Properties>
</file>